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85FDAC" w14:textId="77777777" w:rsidR="00B2535D" w:rsidRPr="00B2535D" w:rsidRDefault="00B2535D" w:rsidP="00B2535D">
      <w:pPr>
        <w:rPr>
          <w:b/>
          <w:bCs/>
        </w:rPr>
      </w:pPr>
      <w:r w:rsidRPr="00B2535D">
        <w:rPr>
          <w:b/>
          <w:bCs/>
        </w:rPr>
        <w:t>Abstract</w:t>
      </w:r>
    </w:p>
    <w:p w14:paraId="1961B190" w14:textId="77777777" w:rsidR="00B2535D" w:rsidRDefault="00B2535D" w:rsidP="00B2535D">
      <w:r>
        <w:t>Altered immune mechanisms are implicated in the pathogenesis of endometriosis. CTLA-4 is a membrane receptor that favors the anergic state of lymphocytes, which may disrupt the immune system response in the endometriotic environment. In this study, we examined the expression of CTLA-4 on T and B cells by flow cytometry and its levels in blood serum and peritoneal fluid by ELISA. Levels of CTLA-4+ T cells were significantly higher in patients with more advanced endometriosis than in those with less advanced disease. Additionally, the negative correlation of CTLA-4+ T lymphocytes and the percentage of NK and NKT-like cells in women with endometriosis and infertility may indicate a different etiopathogenesis of endometriosis accompanying infertility. Our findings shed light on the potential of CTLA-4 in developing new diagnostic and therapeutic approaches in endometriosis management.</w:t>
      </w:r>
    </w:p>
    <w:p w14:paraId="5B3B49CA" w14:textId="77777777" w:rsidR="00B2535D" w:rsidRDefault="00B2535D"/>
    <w:sectPr w:rsidR="00B2535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35D"/>
    <w:rsid w:val="00B2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06381"/>
  <w15:chartTrackingRefBased/>
  <w15:docId w15:val="{C46EE78C-A6C1-4797-AC03-2FC53BE36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35D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2021-03-15T13:37:00Z</dcterms:created>
  <dcterms:modified xsi:type="dcterms:W3CDTF">2021-03-15T13:38:00Z</dcterms:modified>
</cp:coreProperties>
</file>