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Purpose:</w:t>
      </w:r>
      <w:r>
        <w:rPr/>
        <w:t xml:space="preserve"> To analyze the follow-up results of patients suffering from symptomatic early-stage endometriosis after a consistent laparoscopic peritoneal stripping of the altered peritoneum (peritoneal endometriosis and surrounding inflamed tissue) was performed. This type of endometriosis is resistant to medical therapy and/or impairs fertility.</w:t>
      </w:r>
    </w:p>
    <w:p>
      <w:pPr>
        <w:pStyle w:val="Normal"/>
        <w:rPr/>
      </w:pPr>
      <w:r>
        <w:rPr>
          <w:b/>
          <w:bCs/>
        </w:rPr>
        <w:t>Methods:</w:t>
      </w:r>
      <w:r>
        <w:rPr/>
        <w:t xml:space="preserve"> Using our prospectively maintained database, we were able to identify all symptomatic women with the suspicion of only peritoneal endometriosis who underwent laparoscopy at our endometriosis center over a period of 5 years. All procedures were carried out in a standardized fashion by one single surgeon, who is highly experienced in minimal invasive surgery, and included a suspended hormonal pretreatment for 2 months. Postoperative outcomes including complications, fertility and recurrence rates were analysed.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Laparoscopic peritonectomy was performed on 94 women. Follow-up data were available in 87% of these cases. At the time of surgery, almost all patients tested showed signs of stage I or II endometriosis (44.7 and 48.9%, respectively). More than three-quarters of the women reported pain relief, inter alia, due to the post-surgical hormonal therapy. About one-third of the patients wanted to have children after the procedure. 62% of them became pregnant and the majority did so without the need for assisted reproductive therapy. In seven women a re-operation was performed.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b/>
          <w:bCs/>
        </w:rPr>
        <w:t>Conclusion:</w:t>
      </w:r>
      <w:r>
        <w:rPr/>
        <w:t xml:space="preserve"> According to our data, a consistent excision of altered peritoneum followed by adjuvant hormonal therapy and multimodal concepts results in better outcomes for the patient, particularly in regards to pregnancy and recurrence rates.</w:t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67f9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243</Words>
  <Characters>1463</Characters>
  <CharactersWithSpaces>1701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2021-03-17T08:33:00Z</dcterms:created>
  <dc:creator>HALE GÖKSEVER ÇELİK</dc:creator>
  <dc:description/>
  <dc:language>tr-TR</dc:language>
  <cp:lastModifiedBy>HALE GÖKSEVER ÇELİK</cp:lastModifiedBy>
  <dcterms:modified xsi:type="dcterms:W3CDTF">2021-03-17T08:34:00Z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