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D80943" w14:textId="77777777" w:rsidR="00DC33CF" w:rsidRPr="00DC33CF" w:rsidRDefault="00DC33CF" w:rsidP="00DC33CF">
      <w:pPr>
        <w:rPr>
          <w:b/>
          <w:bCs/>
        </w:rPr>
      </w:pPr>
      <w:r w:rsidRPr="00DC33CF">
        <w:rPr>
          <w:b/>
          <w:bCs/>
        </w:rPr>
        <w:t>Abstract</w:t>
      </w:r>
    </w:p>
    <w:p w14:paraId="16E82955" w14:textId="77777777" w:rsidR="00DC33CF" w:rsidRDefault="00DC33CF" w:rsidP="00DC33CF">
      <w:r w:rsidRPr="00DC33CF">
        <w:rPr>
          <w:b/>
          <w:bCs/>
        </w:rPr>
        <w:t>Background:</w:t>
      </w:r>
      <w:r>
        <w:t xml:space="preserve"> Failing conservative therapies, uterine artery </w:t>
      </w:r>
      <w:proofErr w:type="spellStart"/>
      <w:r>
        <w:t>embolisation</w:t>
      </w:r>
      <w:proofErr w:type="spellEnd"/>
      <w:r>
        <w:t xml:space="preserve"> (UAE) has been proposed as a uterine-sparing option for treatment of symptomatic adenomyosis. UAE appears effective at short-term; however long-term durability is less well established.</w:t>
      </w:r>
    </w:p>
    <w:p w14:paraId="63866696" w14:textId="77777777" w:rsidR="00DC33CF" w:rsidRDefault="00DC33CF" w:rsidP="00DC33CF">
      <w:r w:rsidRPr="00DC33CF">
        <w:rPr>
          <w:b/>
          <w:bCs/>
        </w:rPr>
        <w:t>Aims:</w:t>
      </w:r>
      <w:r>
        <w:t xml:space="preserve"> To evaluate the long-term clinical efficacy of UAE for treatment of adenomyosis.</w:t>
      </w:r>
    </w:p>
    <w:p w14:paraId="361A77FD" w14:textId="77777777" w:rsidR="00DC33CF" w:rsidRDefault="00DC33CF" w:rsidP="00DC33CF">
      <w:r w:rsidRPr="00DC33CF">
        <w:rPr>
          <w:b/>
          <w:bCs/>
        </w:rPr>
        <w:t>Materials and methods:</w:t>
      </w:r>
      <w:r>
        <w:t xml:space="preserve"> One hundred and four women with initial clinical success following UAE for adenomyosis (results previously published) were further followed with a two-part online survey. Part one inquired about menopause, symptom recurrence, need for further intervention and overall satisfaction. Part two comprised the Uterine Fibroid Symptom and health-related Quality of Life (UFS-QOL) questionnaire. Maintenance of clinical success was defined as remaining 'happy' or 'very happy' with overall outcome, no recurrence of symptoms, or need for further intervention.</w:t>
      </w:r>
    </w:p>
    <w:p w14:paraId="3079E32D" w14:textId="77777777" w:rsidR="00DC33CF" w:rsidRDefault="00DC33CF" w:rsidP="00DC33CF">
      <w:r w:rsidRPr="00DC33CF">
        <w:rPr>
          <w:b/>
          <w:bCs/>
        </w:rPr>
        <w:t>Results:</w:t>
      </w:r>
      <w:r>
        <w:t xml:space="preserve"> Of those women with initial success, 91/104 (88%) participated in this long-term study at mean 52 months following UAE. Maintenance of clinical success was demonstrated in 82/91 (90%) women. For the remaining 9/91 (10%) women, mean time to failure was 31 months. There were 53/91 (58%) women who reached menopause at mean age of 51.5 years, occurring at mean 30 months post-UAE. UFS-QOL demonstrated significant decrease in symptom severity from 58.9 to 20.0 (P &lt; 0.001); and significant increase in QOL from 40.3 to 86.3 (P &lt; 0.001).</w:t>
      </w:r>
    </w:p>
    <w:p w14:paraId="4F0D0D03" w14:textId="77777777" w:rsidR="00DC33CF" w:rsidRDefault="00DC33CF" w:rsidP="00DC33CF">
      <w:r w:rsidRPr="00DC33CF">
        <w:rPr>
          <w:b/>
          <w:bCs/>
        </w:rPr>
        <w:t>Conclusions:</w:t>
      </w:r>
      <w:r>
        <w:t xml:space="preserve"> Long-term durability of UAE for treatment of adenomyosis was demonstrated, with cumulative success rate of 80% at mean 52 months. UAE did not appear to bring forward menopause. UAE should be considered as an alternative to hysterectomy to treat adenomyosis.</w:t>
      </w:r>
    </w:p>
    <w:p w14:paraId="43B5B112" w14:textId="77777777" w:rsidR="00DC33CF" w:rsidRDefault="00DC33CF"/>
    <w:sectPr w:rsidR="00DC33C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3CF"/>
    <w:rsid w:val="00DC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9289D"/>
  <w15:chartTrackingRefBased/>
  <w15:docId w15:val="{8DA7B144-D78D-4C36-8351-6C0B6B316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3C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2021-03-17T08:53:00Z</dcterms:created>
  <dcterms:modified xsi:type="dcterms:W3CDTF">2021-03-17T08:54:00Z</dcterms:modified>
</cp:coreProperties>
</file>