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Abstract</w:t>
      </w:r>
    </w:p>
    <w:p>
      <w:pPr>
        <w:pStyle w:val="Normal"/>
        <w:rPr/>
      </w:pPr>
      <w:r>
        <w:rPr>
          <w:b/>
          <w:bCs/>
        </w:rPr>
        <w:t xml:space="preserve">Aim: </w:t>
      </w:r>
      <w:r>
        <w:rPr/>
        <w:t>To evaluate the clinical efficacy and safety of laparoscopic adenomyomectomy combined with intraoperative replacement of levonorgestrel-releasing intrauterine system (LNG-IUS) in the treatment of symptomatic adenomyosis.</w:t>
      </w:r>
    </w:p>
    <w:p>
      <w:pPr>
        <w:pStyle w:val="Normal"/>
        <w:rPr/>
      </w:pPr>
      <w:r>
        <w:rPr>
          <w:b/>
          <w:bCs/>
        </w:rPr>
        <w:t xml:space="preserve">Methods: </w:t>
      </w:r>
      <w:r>
        <w:rPr/>
        <w:t>This is a case-series study in a university medical center. A total of 52 patients with symptomatic adenomyosis were treated by laparoscopic adenomyomectomy combined with intraoperative replacement of LNG-IUS from January 2015 to July 2018. Visual analog scale, menstrual flow and uterine volume were compared before and after the surgery (3, 12 and 24 months). Meanwhile, LNG-IUS-induced adverse reactions (e.g. irregular vaginal bleeding, amenorrhea, expulsion, and perforation) were also recorded.</w:t>
      </w:r>
    </w:p>
    <w:p>
      <w:pPr>
        <w:pStyle w:val="Normal"/>
        <w:rPr/>
      </w:pPr>
      <w:r>
        <w:rPr>
          <w:b/>
          <w:bCs/>
        </w:rPr>
        <w:t>Results:</w:t>
      </w:r>
      <w:r>
        <w:rPr/>
        <w:t xml:space="preserve"> All operations were successfully completed via laparoscopy without conversion to laparotomy. No severe complications were noted during the surgical procedure or follow-up period. The mean postoperative visual analog scale and menstrual flow scores and the volume of the uterus were significantly decreased (all P &lt; 0.001) at 3, 12, and 24 months postoperatively, compared with preoperative scores. The clinical effective rates among the patients with dysmenorrhea were 98%, 96% and 96% at 3, 12 and 24 months after the operation, respectively. And the clinical effectiveness rate of menorrhagia was 97.6%, 95.2% and 95.2% at 3, 12 and 24 months after treatment, respectively. Among all related adverse reactions, amenorrhea was the most common (n = 12, 23.1%). There was one case of LNG-IUS perforation (1.9%) and two cases of expulsion (3.8%).</w:t>
      </w:r>
    </w:p>
    <w:p>
      <w:pPr>
        <w:pStyle w:val="Normal"/>
        <w:rPr/>
      </w:pPr>
      <w:r>
        <w:rPr>
          <w:b/>
          <w:bCs/>
        </w:rPr>
        <w:t>Conclusion:</w:t>
      </w:r>
      <w:r>
        <w:rPr/>
        <w:t xml:space="preserve"> Laparoscopic adenomyomectomy combined with intraoperative replacement of LNG-IUS is a novel and effective conservative surgical procedure for symptomatic adenomyosis treatment.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5236591"/>
    </w:sdtPr>
    <w:sdtContent>
      <w:p>
        <w:pPr>
          <w:pStyle w:val="Altbilgi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Altbilgi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043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cb0431"/>
    <w:rPr>
      <w:lang w:val="en-US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Stvealtbilgi">
    <w:name w:val="Üst ve alt bilgi"/>
    <w:basedOn w:val="Normal"/>
    <w:qFormat/>
    <w:pPr/>
    <w:rPr/>
  </w:style>
  <w:style w:type="paragraph" w:styleId="Altbilgi">
    <w:name w:val="Footer"/>
    <w:basedOn w:val="Normal"/>
    <w:link w:val="AltBilgiChar"/>
    <w:uiPriority w:val="99"/>
    <w:unhideWhenUsed/>
    <w:rsid w:val="00cb043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251</Words>
  <Characters>1539</Characters>
  <CharactersWithSpaces>1784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2021-03-17T08:55:00Z</dcterms:created>
  <dc:creator>HALE GÖKSEVER ÇELİK</dc:creator>
  <dc:description/>
  <dc:language>tr-TR</dc:language>
  <cp:lastModifiedBy>HALE GÖKSEVER ÇELİK</cp:lastModifiedBy>
  <dcterms:modified xsi:type="dcterms:W3CDTF">2021-03-17T08:55:00Z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