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5FABC3" w14:textId="77777777" w:rsidR="00B31BCF" w:rsidRPr="00B31BCF" w:rsidRDefault="00B31BCF" w:rsidP="00B31BCF">
      <w:pPr>
        <w:rPr>
          <w:b/>
          <w:bCs/>
        </w:rPr>
      </w:pPr>
      <w:r w:rsidRPr="00B31BCF">
        <w:rPr>
          <w:b/>
          <w:bCs/>
        </w:rPr>
        <w:t>Abstract</w:t>
      </w:r>
    </w:p>
    <w:p w14:paraId="1468221C" w14:textId="364D0DB7" w:rsidR="00B31BCF" w:rsidRDefault="00B31BCF" w:rsidP="00B31BCF">
      <w:r w:rsidRPr="00940D95">
        <w:t xml:space="preserve">The high incidence and burden of pelvic pain are increasingly </w:t>
      </w:r>
      <w:proofErr w:type="spellStart"/>
      <w:r w:rsidRPr="00940D95">
        <w:t>recognised</w:t>
      </w:r>
      <w:proofErr w:type="spellEnd"/>
      <w:r w:rsidRPr="00940D95">
        <w:t xml:space="preserve"> in both the healthcare sector and by the general public. Current approaches to management assume that the diagnosis and remediation of identified lesions will ease this burden. The evidence base and successes in other areas of medicine would suggest that this assumption requires reconsideration</w:t>
      </w:r>
    </w:p>
    <w:sectPr w:rsidR="00B31BC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BCF"/>
    <w:rsid w:val="00B31BC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A2C5E"/>
  <w15:chartTrackingRefBased/>
  <w15:docId w15:val="{A59EEC55-BB49-49A9-B390-EB386190A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1BC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56</Words>
  <Characters>322</Characters>
  <Application>Microsoft Office Word</Application>
  <DocSecurity>0</DocSecurity>
  <Lines>2</Lines>
  <Paragraphs>1</Paragraphs>
  <ScaleCrop>false</ScaleCrop>
  <Company/>
  <LinksUpToDate>false</LinksUpToDate>
  <CharactersWithSpaces>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2021-04-14T19:47:00Z</dcterms:created>
  <dcterms:modified xsi:type="dcterms:W3CDTF">2021-04-14T19:48:00Z</dcterms:modified>
</cp:coreProperties>
</file>