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63D863" w14:textId="77777777" w:rsidR="003F3F36" w:rsidRPr="003F3F36" w:rsidRDefault="003F3F36" w:rsidP="003F3F36">
      <w:pPr>
        <w:rPr>
          <w:b/>
          <w:bCs/>
        </w:rPr>
      </w:pPr>
      <w:r w:rsidRPr="003F3F36">
        <w:rPr>
          <w:b/>
          <w:bCs/>
        </w:rPr>
        <w:t>Abstract</w:t>
      </w:r>
    </w:p>
    <w:p w14:paraId="6F7143AD" w14:textId="77777777" w:rsidR="003F3F36" w:rsidRPr="00940D95" w:rsidRDefault="003F3F36" w:rsidP="003F3F36">
      <w:r w:rsidRPr="003F3F36">
        <w:rPr>
          <w:b/>
          <w:bCs/>
        </w:rPr>
        <w:t>Background:</w:t>
      </w:r>
      <w:r w:rsidRPr="00940D95">
        <w:t xml:space="preserve"> In today's world, coronavirus disease 2019 (COVID-19) is the most critical health problem and research is continued on studying the associated factors. But it is not clear whether endometriosis increases the risk of COVID-19.</w:t>
      </w:r>
    </w:p>
    <w:p w14:paraId="673E2B79" w14:textId="77777777" w:rsidR="003F3F36" w:rsidRPr="00940D95" w:rsidRDefault="003F3F36" w:rsidP="003F3F36">
      <w:r w:rsidRPr="003F3F36">
        <w:rPr>
          <w:b/>
          <w:bCs/>
        </w:rPr>
        <w:t>Methods:</w:t>
      </w:r>
      <w:r w:rsidRPr="00940D95">
        <w:t xml:space="preserve"> Women who referred to the gynecology clinic were evaluated and 507 women with endometriosis (case group) were compared with 520 women without endometriosis (control group). COVID-19 infection, symptoms, exposure, hospitalization, isolation, H1N1 infection and vaccination, and past medical history of the participants were recorded and compared between the groups using IBM SPSS Statistics for Windows version 21.</w:t>
      </w:r>
    </w:p>
    <w:p w14:paraId="5716A2E3" w14:textId="77777777" w:rsidR="003F3F36" w:rsidRPr="00940D95" w:rsidRDefault="003F3F36" w:rsidP="003F3F36">
      <w:r w:rsidRPr="003F3F36">
        <w:rPr>
          <w:b/>
          <w:bCs/>
        </w:rPr>
        <w:t>Results:</w:t>
      </w:r>
      <w:r w:rsidRPr="00940D95">
        <w:t xml:space="preserve"> Comparison between the groups represent COVID-19 infection in 3.2% of the case group and 3% of the control group (P = 0.942). The control group had a higher frequency of asymptomatic infection (95.7% vs. 94.5%; P &lt; 0.001) and fever (1.6% vs. 0%; P = 0.004), while the frequency of rare symptoms was more common in the case group (P &lt; 0.001). The average disease period was 14 days in both groups (P = 0.694). COVID-19 infection was correlated with close contact (r = 0.331; P &lt; 0.001 in the case group and r = 0.244; P &lt; 0.001 in the control group), but not with the history of thyroid disorders, H1N1 vaccination, traveling to high-risk areas, and social isolation (P &gt; 0.05).</w:t>
      </w:r>
    </w:p>
    <w:p w14:paraId="1A73C7D1" w14:textId="77777777" w:rsidR="003F3F36" w:rsidRPr="00940D95" w:rsidRDefault="003F3F36" w:rsidP="003F3F36">
      <w:r w:rsidRPr="003F3F36">
        <w:rPr>
          <w:b/>
          <w:bCs/>
        </w:rPr>
        <w:t>Conclusion:</w:t>
      </w:r>
      <w:r w:rsidRPr="00940D95">
        <w:t xml:space="preserve"> Endometriosis does not increase the susceptibility to COVID-19 infections, but alters the manifestation of the disease. The prevalence of the disease may depend on the interaction between the virus and the individual's immune system but further studies are required in this regard.</w:t>
      </w:r>
    </w:p>
    <w:p w14:paraId="4EB9B8ED" w14:textId="77777777" w:rsidR="003F3F36" w:rsidRDefault="003F3F36"/>
    <w:sectPr w:rsidR="003F3F3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F36"/>
    <w:rsid w:val="003F3F3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961F8"/>
  <w15:chartTrackingRefBased/>
  <w15:docId w15:val="{46F3356C-91BB-4A59-AE92-522EA8FA3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F3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246</Words>
  <Characters>1406</Characters>
  <Application>Microsoft Office Word</Application>
  <DocSecurity>0</DocSecurity>
  <Lines>11</Lines>
  <Paragraphs>3</Paragraphs>
  <ScaleCrop>false</ScaleCrop>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2021-04-14T19:48:00Z</dcterms:created>
  <dcterms:modified xsi:type="dcterms:W3CDTF">2021-04-14T19:49:00Z</dcterms:modified>
</cp:coreProperties>
</file>