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2CEEEB" w14:textId="77777777" w:rsidR="00450E94" w:rsidRPr="00450E94" w:rsidRDefault="00450E94" w:rsidP="00450E94">
      <w:pPr>
        <w:rPr>
          <w:b/>
          <w:bCs/>
        </w:rPr>
      </w:pPr>
      <w:r w:rsidRPr="00450E94">
        <w:rPr>
          <w:b/>
          <w:bCs/>
        </w:rPr>
        <w:t>Abstract</w:t>
      </w:r>
    </w:p>
    <w:p w14:paraId="70D6A2B5" w14:textId="77777777" w:rsidR="00450E94" w:rsidRPr="00940D95" w:rsidRDefault="00450E94" w:rsidP="00450E94">
      <w:r w:rsidRPr="00450E94">
        <w:rPr>
          <w:b/>
          <w:bCs/>
        </w:rPr>
        <w:t xml:space="preserve">Objective: </w:t>
      </w:r>
      <w:r w:rsidRPr="00940D95">
        <w:t>To provide a snapshot of the surgical management of endometriosis in French high-volume activity centers.</w:t>
      </w:r>
    </w:p>
    <w:p w14:paraId="752CE4D3" w14:textId="77777777" w:rsidR="00450E94" w:rsidRPr="00940D95" w:rsidRDefault="00450E94" w:rsidP="00450E94">
      <w:r w:rsidRPr="00450E94">
        <w:rPr>
          <w:b/>
          <w:bCs/>
        </w:rPr>
        <w:t>Methods:</w:t>
      </w:r>
      <w:r w:rsidRPr="00940D95">
        <w:t xml:space="preserve"> Analysis of prospectively collected data between November 2015 and May 2017 in 21 centers with a high volume of endometriosis surgery in France. Each facility could include up to 40 patients undergoing laparoscopy for endometriosis. Data were collected before and two months after surgery.</w:t>
      </w:r>
    </w:p>
    <w:p w14:paraId="56536238" w14:textId="77777777" w:rsidR="00450E94" w:rsidRPr="00940D95" w:rsidRDefault="00450E94" w:rsidP="00450E94">
      <w:r w:rsidRPr="00450E94">
        <w:rPr>
          <w:b/>
          <w:bCs/>
        </w:rPr>
        <w:t>Results:</w:t>
      </w:r>
      <w:r w:rsidRPr="00940D95">
        <w:t xml:space="preserve"> 361 patients were enrolled in the study. Twenty-seven patients (7.48%) were lost to follow-up at the month 2 visit. Endometriosis stage was I-II in 33.70% of patients and III-IV in 66.30%. Uterosacral ligament resection was the most frequently performed procedure (50.97%) followed by rectal surgery (31.58%), ovarian procedures for endometrioma, procedures for ureters (21.33%) and the bladder (11.91%). Antiadhesion agents were employed in 215/361 (59.56%) patients. The median length of hospital stay after surgery was 2 (IQR 1 - 4) days. Post-operative complications were recorded in 9.34% of patients. Rectovaginal fistulae occurred in 8 patients (2.41%), pelvic abscess in 4 (1.20%) and bladder atony in 3 (0.90%). 17 patients (5.14%) required a second surgical procedure after a median time of 31 days (IQR 9 - 81). Two months after surgery, 95.09% of patients reported being satisfied or very satisfied with the surgery.</w:t>
      </w:r>
    </w:p>
    <w:p w14:paraId="57EBEA04" w14:textId="77777777" w:rsidR="00450E94" w:rsidRPr="00940D95" w:rsidRDefault="00450E94" w:rsidP="00450E94">
      <w:r w:rsidRPr="00450E94">
        <w:rPr>
          <w:b/>
          <w:bCs/>
        </w:rPr>
        <w:t>Conclusion:</w:t>
      </w:r>
      <w:r w:rsidRPr="00940D95">
        <w:t xml:space="preserve"> Our study shows that surgical management of endometriosis in centers with a high volume of endometriosis surgery, mainly concerns women presenting with severe disease and deep localizations, with an overall risk of major complications inferior to 10% and a high rate of patient satisfaction.</w:t>
      </w:r>
    </w:p>
    <w:p w14:paraId="107D75F8" w14:textId="77777777" w:rsidR="00450E94" w:rsidRPr="00940D95" w:rsidRDefault="00450E94" w:rsidP="00450E94"/>
    <w:p w14:paraId="79E1AA1F" w14:textId="77777777" w:rsidR="00450E94" w:rsidRDefault="00450E94"/>
    <w:sectPr w:rsidR="00450E9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E94"/>
    <w:rsid w:val="0045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FD5DC"/>
  <w15:chartTrackingRefBased/>
  <w15:docId w15:val="{9CC7CB99-3EE1-4584-AFA8-CA9CAF18C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E94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2021-04-12T19:43:00Z</dcterms:created>
  <dcterms:modified xsi:type="dcterms:W3CDTF">2021-04-12T19:44:00Z</dcterms:modified>
</cp:coreProperties>
</file>