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13F4D" w14:textId="77777777" w:rsidR="00B15D8B" w:rsidRPr="00B15D8B" w:rsidRDefault="00B15D8B" w:rsidP="00B15D8B">
      <w:pPr>
        <w:rPr>
          <w:b/>
          <w:bCs/>
        </w:rPr>
      </w:pPr>
      <w:r w:rsidRPr="00B15D8B">
        <w:rPr>
          <w:b/>
          <w:bCs/>
        </w:rPr>
        <w:t>Abstract</w:t>
      </w:r>
    </w:p>
    <w:p w14:paraId="7C666574" w14:textId="77777777" w:rsidR="00B15D8B" w:rsidRDefault="00B15D8B" w:rsidP="00B15D8B">
      <w:r w:rsidRPr="00B15D8B">
        <w:rPr>
          <w:b/>
          <w:bCs/>
        </w:rPr>
        <w:t>Objective:</w:t>
      </w:r>
      <w:r>
        <w:t xml:space="preserve"> Combined oral contraceptives (COC) and progestogens are widely used for the treatment of endometriosis. The objective of the study is to compare the efficacy of </w:t>
      </w:r>
      <w:proofErr w:type="spellStart"/>
      <w:r>
        <w:t>dienogest</w:t>
      </w:r>
      <w:proofErr w:type="spellEnd"/>
      <w:r>
        <w:t xml:space="preserve"> 2 mg vs continuous oral levonorgestrel/EE (levonorgestrel 0.1 mg/ethinyl estradiol 0.02 mg) on ovarian endometriomas, deep infiltrating endometriosis (DIE), chronic pelvic pain (CPP), dyspareunia, analgesic use, quality of life (QoL), compliance and side effects.</w:t>
      </w:r>
    </w:p>
    <w:p w14:paraId="7F4F1656" w14:textId="77777777" w:rsidR="00B15D8B" w:rsidRDefault="00B15D8B" w:rsidP="00B15D8B">
      <w:r w:rsidRPr="00B15D8B">
        <w:rPr>
          <w:b/>
          <w:bCs/>
        </w:rPr>
        <w:t xml:space="preserve">Methods: </w:t>
      </w:r>
      <w:r>
        <w:t xml:space="preserve">Prospective cohort study. Two cohorts of patients with endometriosis, 50 taking </w:t>
      </w:r>
      <w:proofErr w:type="spellStart"/>
      <w:r>
        <w:t>dienogest</w:t>
      </w:r>
      <w:proofErr w:type="spellEnd"/>
      <w:r>
        <w:t xml:space="preserve"> (group A) and 50 taking continuous levonorgestrel/EE (group B), were evaluated at the beginning of therapy (t0), after 3 (t3) and 6 months (t6). Size of endometriomas, DIE, QoL, pain symptoms, and side effects were assessed.</w:t>
      </w:r>
    </w:p>
    <w:p w14:paraId="1818E38C" w14:textId="77777777" w:rsidR="00B15D8B" w:rsidRDefault="00B15D8B" w:rsidP="00B15D8B">
      <w:r w:rsidRPr="00B15D8B">
        <w:rPr>
          <w:b/>
          <w:bCs/>
        </w:rPr>
        <w:t>Results:</w:t>
      </w:r>
      <w:r>
        <w:t xml:space="preserve"> </w:t>
      </w:r>
      <w:proofErr w:type="spellStart"/>
      <w:r>
        <w:t>Dienogest</w:t>
      </w:r>
      <w:proofErr w:type="spellEnd"/>
      <w:r>
        <w:t xml:space="preserve"> was significantly effective on CPP (p = .002), dyspareunia (p = .021) ovarian endometriomas (p = .015) and DIE lesions reduction (p = .014). Levonorgestrel/EE was significantly effective on dyspareunia (p = .023). Analgesics consumption significantly decreased in both groups (p &lt; .001). Both treatments significantly improved the QoL. Over 6 months a significant improvement was found, more frequently in patients taking </w:t>
      </w:r>
      <w:proofErr w:type="spellStart"/>
      <w:r>
        <w:t>dienogest</w:t>
      </w:r>
      <w:proofErr w:type="spellEnd"/>
      <w:r>
        <w:t>. The only side effect that both groups complained about was vaginal bleeding, present in the first 3 months of treatment (p &lt; .001).</w:t>
      </w:r>
    </w:p>
    <w:p w14:paraId="0DDE208B" w14:textId="77777777" w:rsidR="00B15D8B" w:rsidRDefault="00B15D8B" w:rsidP="00B15D8B">
      <w:r w:rsidRPr="00B15D8B">
        <w:rPr>
          <w:b/>
          <w:bCs/>
        </w:rPr>
        <w:t>Conclusions:</w:t>
      </w:r>
      <w:r>
        <w:t xml:space="preserve"> Both treatments are effective and safe for patients with endometriosis. </w:t>
      </w:r>
      <w:proofErr w:type="gramStart"/>
      <w:r>
        <w:t>Patients</w:t>
      </w:r>
      <w:proofErr w:type="gramEnd"/>
      <w:r>
        <w:t xml:space="preserve"> compliance and side effects are similar in both groups, however, there was a significantly higher reduction in endometriotic lesions, pain symptoms, and improvement of the QoL in women taking </w:t>
      </w:r>
      <w:proofErr w:type="spellStart"/>
      <w:r>
        <w:t>dienogest</w:t>
      </w:r>
      <w:proofErr w:type="spellEnd"/>
      <w:r>
        <w:t xml:space="preserve"> than in women taking continuous COC.</w:t>
      </w:r>
    </w:p>
    <w:p w14:paraId="739BB28E" w14:textId="77777777" w:rsidR="00B15D8B" w:rsidRDefault="00B15D8B"/>
    <w:sectPr w:rsidR="00B15D8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D8B"/>
    <w:rsid w:val="00B15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29CE4"/>
  <w15:chartTrackingRefBased/>
  <w15:docId w15:val="{B85C088B-710F-48E8-9170-A0B7F99E5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D8B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2021-04-16T11:00:00Z</dcterms:created>
  <dcterms:modified xsi:type="dcterms:W3CDTF">2021-04-16T11:01:00Z</dcterms:modified>
</cp:coreProperties>
</file>