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5F89BA" w14:textId="77777777" w:rsidR="00295BED" w:rsidRPr="00295BED" w:rsidRDefault="00295BED" w:rsidP="00295BED">
      <w:pPr>
        <w:rPr>
          <w:b/>
          <w:bCs/>
        </w:rPr>
      </w:pPr>
      <w:r w:rsidRPr="00295BED">
        <w:rPr>
          <w:b/>
          <w:bCs/>
        </w:rPr>
        <w:t>Abstract</w:t>
      </w:r>
    </w:p>
    <w:p w14:paraId="593396C3" w14:textId="77777777" w:rsidR="00295BED" w:rsidRDefault="00295BED" w:rsidP="00295BED">
      <w:r w:rsidRPr="00295BED">
        <w:rPr>
          <w:b/>
          <w:bCs/>
        </w:rPr>
        <w:t>Objectives:</w:t>
      </w:r>
      <w:r>
        <w:t xml:space="preserve"> matrix metalloproteinases including matrix metalloproteinase-2 play a key role in endometrial extra cellular matrix breakdown in endometriosis. Aberrant expression of matrix metalloproteinase-2 has been reported in </w:t>
      </w:r>
      <w:proofErr w:type="spellStart"/>
      <w:r>
        <w:t>eutopic</w:t>
      </w:r>
      <w:proofErr w:type="spellEnd"/>
      <w:r>
        <w:t xml:space="preserve"> and ectopic endometrial tissue of endometriosis patients so altered expression of matrix metalloproteinase-2 due to polymorphisms may lead to establishment and progression of endometriosis. In this study the association between -735 C/T (rs2285053) and -1575 G/A (rs243866) variants of matrix metalloproteinase-2 gene with presence of endometriosis in an Iranian population were investigated for the first time.</w:t>
      </w:r>
    </w:p>
    <w:p w14:paraId="2B2B89C9" w14:textId="77777777" w:rsidR="00295BED" w:rsidRDefault="00295BED" w:rsidP="00295BED">
      <w:r w:rsidRPr="00295BED">
        <w:rPr>
          <w:b/>
          <w:bCs/>
        </w:rPr>
        <w:t>Study design:</w:t>
      </w:r>
      <w:r>
        <w:t xml:space="preserve"> A case-control association study was conducted to investigate the role of MMP-2-735 C/T and _1575 G/A variants in development of endometriosis. Polymerase chain reaction-restriction fragment length polymorphism method was used to determine genotype frequencies of these variants in 100 endometriosis patients and 200 normal samples. Total genomic DNA was extracted from blood samples and single-nucleotide polymorphism flanking regions were amplified using designed specific primers. Enzymatic digestion was performed using Pag I and </w:t>
      </w:r>
      <w:proofErr w:type="spellStart"/>
      <w:r>
        <w:t>Hinf</w:t>
      </w:r>
      <w:proofErr w:type="spellEnd"/>
      <w:r>
        <w:t xml:space="preserve"> I restriction enzymes for rs2285053 and rs243866 variants, respectively. Statistical analysis was ascertained using statistical package for social science version 16 and "</w:t>
      </w:r>
      <w:proofErr w:type="spellStart"/>
      <w:r>
        <w:t>SHEsis</w:t>
      </w:r>
      <w:proofErr w:type="spellEnd"/>
      <w:r>
        <w:t>" software.</w:t>
      </w:r>
    </w:p>
    <w:p w14:paraId="4051C0C8" w14:textId="77777777" w:rsidR="00295BED" w:rsidRDefault="00295BED" w:rsidP="00295BED">
      <w:r w:rsidRPr="00295BED">
        <w:rPr>
          <w:b/>
          <w:bCs/>
        </w:rPr>
        <w:t>Results:</w:t>
      </w:r>
      <w:r>
        <w:t xml:space="preserve"> There were no significant differences in genotype frequencies of rs2285035 (-735C/T) variant between case and control groups (CC + CT vs. TT p = 0.40; OR = 0.50, 95 % CI 0.100-2.551). There were also no significant differences for C allele frequencies in both case and control groups (p = 0.9). For variant rs243866 (-1575 G/A) the differences in genotype frequencies between case and controls group were determined to be significant (GG + GA vs. AA p = 0.041; OR = 6.46, 95 % CI 0.82-50.43). The frequency of G allele was significantly different in case and control groups (p = 0.037).</w:t>
      </w:r>
    </w:p>
    <w:p w14:paraId="1B5D8D8D" w14:textId="77777777" w:rsidR="00295BED" w:rsidRDefault="00295BED" w:rsidP="00295BED">
      <w:r w:rsidRPr="00295BED">
        <w:rPr>
          <w:b/>
          <w:bCs/>
        </w:rPr>
        <w:t>Conclusion:</w:t>
      </w:r>
      <w:r>
        <w:t xml:space="preserve"> In conclusion, existence of rs243866 variant in promoter region of matrix metalloproteinase-2 gene can increase the risk of endometriosis in Iranian women.</w:t>
      </w:r>
    </w:p>
    <w:p w14:paraId="64160C5F" w14:textId="77777777" w:rsidR="00295BED" w:rsidRDefault="00295BED"/>
    <w:sectPr w:rsidR="00295BED">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BED"/>
    <w:rsid w:val="00295BE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4C6E8"/>
  <w15:chartTrackingRefBased/>
  <w15:docId w15:val="{14F6EC68-A103-4653-85A2-66B3F3D67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BED"/>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322</Words>
  <Characters>1841</Characters>
  <Application>Microsoft Office Word</Application>
  <DocSecurity>0</DocSecurity>
  <Lines>15</Lines>
  <Paragraphs>4</Paragraphs>
  <ScaleCrop>false</ScaleCrop>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2021-04-16T11:03:00Z</dcterms:created>
  <dcterms:modified xsi:type="dcterms:W3CDTF">2021-04-16T11:03:00Z</dcterms:modified>
</cp:coreProperties>
</file>