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2D32FF" w14:textId="77777777" w:rsidR="00E31276" w:rsidRPr="00E31276" w:rsidRDefault="00E31276" w:rsidP="00E31276">
      <w:pPr>
        <w:rPr>
          <w:b/>
          <w:bCs/>
        </w:rPr>
      </w:pPr>
      <w:r w:rsidRPr="00E31276">
        <w:rPr>
          <w:b/>
          <w:bCs/>
        </w:rPr>
        <w:t>Abstract</w:t>
      </w:r>
    </w:p>
    <w:p w14:paraId="2B0A396E" w14:textId="77777777" w:rsidR="00E31276" w:rsidRPr="00940D95" w:rsidRDefault="00E31276" w:rsidP="00E31276">
      <w:r w:rsidRPr="00E31276">
        <w:rPr>
          <w:b/>
          <w:bCs/>
        </w:rPr>
        <w:t>Objective:</w:t>
      </w:r>
      <w:r w:rsidRPr="00940D95">
        <w:t xml:space="preserve"> The aim of the study was to investigate pregnancy, obstetric, and neonatal outcomes in women with small (&lt;4 cm) unilateral endometriomas.</w:t>
      </w:r>
    </w:p>
    <w:p w14:paraId="4249EDCE" w14:textId="77777777" w:rsidR="00E31276" w:rsidRPr="00940D95" w:rsidRDefault="00E31276" w:rsidP="00E31276">
      <w:r w:rsidRPr="00E31276">
        <w:rPr>
          <w:b/>
          <w:bCs/>
        </w:rPr>
        <w:t>Methods:</w:t>
      </w:r>
      <w:r w:rsidRPr="00940D95">
        <w:t xml:space="preserve"> This retrospective study included 177 patients: 91 patients with small endometriomas and 86 controls with unexplained or tubal factor infertility who were treated at the </w:t>
      </w:r>
      <w:proofErr w:type="spellStart"/>
      <w:r w:rsidRPr="00940D95">
        <w:t>Süleymaniye</w:t>
      </w:r>
      <w:proofErr w:type="spellEnd"/>
      <w:r w:rsidRPr="00940D95">
        <w:t xml:space="preserve"> Gynecology and Maternity Training and Research Hospital Infertility Unit between January 2010 and July 2015. The groups were matched with regards to demographic characteristics such as age, body mass index, and infertility duration. All of the women in this study conceived via intracytoplasmic sperm injection. We compared pregnancy, obstetric, and neonatal outcomes between these groups.</w:t>
      </w:r>
    </w:p>
    <w:p w14:paraId="2934BE32" w14:textId="77777777" w:rsidR="00E31276" w:rsidRPr="00940D95" w:rsidRDefault="00E31276" w:rsidP="00E31276">
      <w:r w:rsidRPr="00E31276">
        <w:rPr>
          <w:b/>
          <w:bCs/>
        </w:rPr>
        <w:t>Results:</w:t>
      </w:r>
      <w:r w:rsidRPr="00940D95">
        <w:t xml:space="preserve"> Women with endometriomas had a higher biochemical pregnancy rate, but lower clinical pregnancy and live birth rates than women with unexplained and tubal factor infertility (p&lt;0.05 for all). However no significant differences were found in terms of obstetric and neonatal complications between the two groups (p&gt;0.05 for all).</w:t>
      </w:r>
    </w:p>
    <w:p w14:paraId="67714D24" w14:textId="77777777" w:rsidR="00E31276" w:rsidRPr="00940D95" w:rsidRDefault="00E31276" w:rsidP="00E31276">
      <w:r w:rsidRPr="00E31276">
        <w:rPr>
          <w:b/>
          <w:bCs/>
        </w:rPr>
        <w:t>Conclusion:</w:t>
      </w:r>
      <w:r w:rsidRPr="00940D95">
        <w:t xml:space="preserve"> In this study, we found that women with endometriomas less than 4 cm were more prone to early pregnancy complications. We also showed that this group did not have any increased risks of late pregnancy, obstetric, and neonatal complications.</w:t>
      </w:r>
    </w:p>
    <w:p w14:paraId="63882519" w14:textId="77777777" w:rsidR="00E31276" w:rsidRDefault="00E31276"/>
    <w:sectPr w:rsidR="00E31276">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276"/>
    <w:rsid w:val="00E3127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98B3A"/>
  <w15:chartTrackingRefBased/>
  <w15:docId w15:val="{BB803C04-C53A-4750-8536-72B4F5EE2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276"/>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198</Words>
  <Characters>1131</Characters>
  <Application>Microsoft Office Word</Application>
  <DocSecurity>0</DocSecurity>
  <Lines>9</Lines>
  <Paragraphs>2</Paragraphs>
  <ScaleCrop>false</ScaleCrop>
  <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2021-04-12T19:50:00Z</dcterms:created>
  <dcterms:modified xsi:type="dcterms:W3CDTF">2021-04-12T19:51:00Z</dcterms:modified>
</cp:coreProperties>
</file>