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DDCB9B" w14:textId="77777777" w:rsidR="00582309" w:rsidRPr="00582309" w:rsidRDefault="00582309" w:rsidP="00582309">
      <w:pPr>
        <w:rPr>
          <w:b/>
          <w:bCs/>
        </w:rPr>
      </w:pPr>
      <w:r w:rsidRPr="00582309">
        <w:rPr>
          <w:b/>
          <w:bCs/>
        </w:rPr>
        <w:t>Abstract</w:t>
      </w:r>
    </w:p>
    <w:p w14:paraId="31D8CFA1" w14:textId="77777777" w:rsidR="00582309" w:rsidRDefault="00582309" w:rsidP="00582309">
      <w:r w:rsidRPr="00582309">
        <w:rPr>
          <w:b/>
          <w:bCs/>
        </w:rPr>
        <w:t>Aim:</w:t>
      </w:r>
      <w:r>
        <w:t xml:space="preserve"> To evaluate if the long-term results (on fertility, need of hysterectomy and persistence of endometriosis) after a minimally invasive intervention (transvaginal ultrasound-guided puncture-aspiration [TUGPA]) for endometriomas are significantly different from performing the traditional conservative surgery (CS) by laparoscopy or laparotomy.</w:t>
      </w:r>
    </w:p>
    <w:p w14:paraId="65A2108E" w14:textId="77777777" w:rsidR="00582309" w:rsidRDefault="00582309" w:rsidP="00582309">
      <w:r w:rsidRPr="00582309">
        <w:rPr>
          <w:b/>
          <w:bCs/>
        </w:rPr>
        <w:t>Methods:</w:t>
      </w:r>
      <w:r>
        <w:t xml:space="preserve"> We performed a retrospective study of cohorts on patients undergoing surgery for ovarian endometriomas between January 1998 and April 2015. Cohort 1 consisted of 75 women whose first intervention for endometriomas had been TUGPA. For the cohort 2, we selected a randomized paired case in which the first operation for endometriomas had been CS by laparoscopic or laparotomy (another set of 75 patients).</w:t>
      </w:r>
    </w:p>
    <w:p w14:paraId="1561F2DA" w14:textId="77777777" w:rsidR="00582309" w:rsidRDefault="00582309" w:rsidP="00582309">
      <w:r w:rsidRPr="00582309">
        <w:rPr>
          <w:b/>
          <w:bCs/>
        </w:rPr>
        <w:t>Results:</w:t>
      </w:r>
      <w:r>
        <w:t xml:space="preserve"> There were significantly more recurrences and the time to recurrence and repetition of operations were also significantly shorter in patients with TUGPA. However, there were no significant differences in overall pregnancy/delivery outcomes, in hysterectomy performances, or in endometriosis persistence at the last follow-up visit. There were no significant differences related to the symptoms or to analytical presurgical values but the application of multivariate analysis with binary logistic regression to each dependent variable adjusted for age, symptoms, and presurgical analyses showed a significant risk of recurrence and reoperation of TUGPA versus CS.</w:t>
      </w:r>
    </w:p>
    <w:p w14:paraId="69AE51CF" w14:textId="77777777" w:rsidR="00582309" w:rsidRDefault="00582309" w:rsidP="00582309">
      <w:r w:rsidRPr="00582309">
        <w:rPr>
          <w:b/>
          <w:bCs/>
        </w:rPr>
        <w:t>Conclusions:</w:t>
      </w:r>
      <w:r>
        <w:t xml:space="preserve"> Those patients with endometriomas who underwent TUGPA (with or without associated medications) had a significant increase in recurrence and the need for reoperation. However, in the long-term there were no significant differences in the results of pregnancy/childbirth, need for hysterectomy, or in the clinical or doubtful persistence of endometriosis.</w:t>
      </w:r>
    </w:p>
    <w:p w14:paraId="5A43DF9C" w14:textId="77777777" w:rsidR="00582309" w:rsidRDefault="00582309"/>
    <w:sectPr w:rsidR="00582309">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2309"/>
    <w:rsid w:val="0058230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DD9937"/>
  <w15:chartTrackingRefBased/>
  <w15:docId w15:val="{EAD9CD8A-BBD5-430D-92C7-5B0DB1AE54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2309"/>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270</Words>
  <Characters>1539</Characters>
  <Application>Microsoft Office Word</Application>
  <DocSecurity>0</DocSecurity>
  <Lines>12</Lines>
  <Paragraphs>3</Paragraphs>
  <ScaleCrop>false</ScaleCrop>
  <Company/>
  <LinksUpToDate>false</LinksUpToDate>
  <CharactersWithSpaces>1806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2021-05-14T17:06:00Z</dcterms:created>
  <dcterms:modified xsi:type="dcterms:W3CDTF">2021-05-14T17:07:00Z</dcterms:modified>
</cp:coreProperties>
</file>