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2879E" w14:textId="77777777" w:rsidR="00A60D8E" w:rsidRPr="00A60D8E" w:rsidRDefault="00A60D8E" w:rsidP="00A60D8E">
      <w:pPr>
        <w:rPr>
          <w:b/>
          <w:bCs/>
        </w:rPr>
      </w:pPr>
      <w:r w:rsidRPr="00A60D8E">
        <w:rPr>
          <w:b/>
          <w:bCs/>
        </w:rPr>
        <w:t>Abstract</w:t>
      </w:r>
    </w:p>
    <w:p w14:paraId="75398127" w14:textId="77777777" w:rsidR="00A60D8E" w:rsidRDefault="00A60D8E" w:rsidP="00A60D8E">
      <w:r w:rsidRPr="00A60D8E">
        <w:rPr>
          <w:b/>
          <w:bCs/>
        </w:rPr>
        <w:t>Introduction:</w:t>
      </w:r>
      <w:r>
        <w:t xml:space="preserve"> The pathogen-associated molecular patterns and the danger-associated molecular patterns are possibly responsible for the activation of the inflammatory process in endometriosis through the activation of toll-like receptors (TLRs).</w:t>
      </w:r>
    </w:p>
    <w:p w14:paraId="3A1C9D52" w14:textId="77777777" w:rsidR="00A60D8E" w:rsidRDefault="00A60D8E" w:rsidP="00A60D8E">
      <w:r w:rsidRPr="00A60D8E">
        <w:rPr>
          <w:b/>
          <w:bCs/>
        </w:rPr>
        <w:t>Objective:</w:t>
      </w:r>
      <w:r>
        <w:t xml:space="preserve"> The aim of this systematic review was to critically analyze the findings of published articles on TLRs in endometriosis.</w:t>
      </w:r>
    </w:p>
    <w:p w14:paraId="76CC18D8" w14:textId="77777777" w:rsidR="00A60D8E" w:rsidRDefault="00A60D8E" w:rsidP="00A60D8E">
      <w:r w:rsidRPr="00A60D8E">
        <w:rPr>
          <w:b/>
          <w:bCs/>
        </w:rPr>
        <w:t>Methods:</w:t>
      </w:r>
      <w:r>
        <w:t xml:space="preserve"> The keywords used were "endometriosis" and "toll-like" and the search was performed in </w:t>
      </w:r>
      <w:proofErr w:type="spellStart"/>
      <w:r>
        <w:t>Pubmed</w:t>
      </w:r>
      <w:proofErr w:type="spellEnd"/>
      <w:r>
        <w:t xml:space="preserve">, </w:t>
      </w:r>
      <w:proofErr w:type="spellStart"/>
      <w:r>
        <w:t>Scielo</w:t>
      </w:r>
      <w:proofErr w:type="spellEnd"/>
      <w:r>
        <w:t xml:space="preserve"> and Lilacs databases. This study followed the PRISMA guidelines and the risk of bias of articles was conducted by Newcastle-Ottawa scale (NOS).</w:t>
      </w:r>
    </w:p>
    <w:p w14:paraId="0EE2104E" w14:textId="77777777" w:rsidR="00A60D8E" w:rsidRDefault="00A60D8E" w:rsidP="00A60D8E">
      <w:r w:rsidRPr="00A60D8E">
        <w:rPr>
          <w:b/>
          <w:bCs/>
        </w:rPr>
        <w:t>Results:</w:t>
      </w:r>
      <w:r>
        <w:t xml:space="preserve"> Overall, the studies analyzed in this review point toward an increased expression of TLRs two, four and nine in women with endometriosis. Among all TLRs, TLR4 was the most cited receptor.</w:t>
      </w:r>
    </w:p>
    <w:p w14:paraId="1198414D" w14:textId="77777777" w:rsidR="00A60D8E" w:rsidRDefault="00A60D8E" w:rsidP="00A60D8E">
      <w:r w:rsidRPr="00A60D8E">
        <w:rPr>
          <w:b/>
          <w:bCs/>
        </w:rPr>
        <w:t>Conclusion:</w:t>
      </w:r>
      <w:r>
        <w:t xml:space="preserve"> Despite the evidence demonstrating elevated TLR levels in endometriosis, the relationship with the disease is still unclear and needs to be clarified in further studies about innate immune response.</w:t>
      </w:r>
    </w:p>
    <w:p w14:paraId="29BFA7DC" w14:textId="77777777" w:rsidR="00A60D8E" w:rsidRDefault="00A60D8E"/>
    <w:sectPr w:rsidR="00A60D8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D8E"/>
    <w:rsid w:val="00A6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30D25"/>
  <w15:chartTrackingRefBased/>
  <w15:docId w15:val="{183B62B3-33B9-4BE1-9F3B-1FF2C72CC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D8E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2021-05-14T16:32:00Z</dcterms:created>
  <dcterms:modified xsi:type="dcterms:W3CDTF">2021-05-14T16:34:00Z</dcterms:modified>
</cp:coreProperties>
</file>