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5EE5C" w14:textId="77777777" w:rsidR="004B79F8" w:rsidRPr="004B79F8" w:rsidRDefault="004B79F8" w:rsidP="004B79F8">
      <w:pPr>
        <w:rPr>
          <w:b/>
          <w:bCs/>
        </w:rPr>
      </w:pPr>
      <w:r w:rsidRPr="004B79F8">
        <w:rPr>
          <w:b/>
          <w:bCs/>
        </w:rPr>
        <w:t>Abstract</w:t>
      </w:r>
    </w:p>
    <w:p w14:paraId="6BC63BA7" w14:textId="77777777" w:rsidR="004B79F8" w:rsidRDefault="004B79F8" w:rsidP="004B79F8">
      <w:r w:rsidRPr="004B79F8">
        <w:rPr>
          <w:b/>
          <w:bCs/>
        </w:rPr>
        <w:t>Purpose of review:</w:t>
      </w:r>
      <w:r>
        <w:t xml:space="preserve"> Abdominal wall endometriosis (AWE) is rare with limited evidence guiding diagnosis and treatment. The purpose of this review is to provide an update of the diagnosis, perioperative considerations, and treatment of AWE.</w:t>
      </w:r>
    </w:p>
    <w:p w14:paraId="2EEB55CD" w14:textId="77777777" w:rsidR="004B79F8" w:rsidRDefault="004B79F8" w:rsidP="004B79F8">
      <w:r w:rsidRPr="004B79F8">
        <w:rPr>
          <w:b/>
          <w:bCs/>
        </w:rPr>
        <w:t xml:space="preserve">Recent findings: </w:t>
      </w:r>
      <w:r>
        <w:t xml:space="preserve">Recent studies further characterize presenting symptoms and locations of AWE. Prior abdominal surgery remains the greatest risk factor for the development of AWE. Newer evidence suggests that increasing BMI may also be a risk factor. Ultrasound is first-line imaging for diagnosis. Magnetic resonance image is preferred for surgical planning for deep or extensive lesions. Laparotomy with wide local excision is considered standard treatment for AWE with great success. Novel techniques in minimally invasive surgery have been described as effective for the treatment of AWE. A multidisciplinary surgical approach is often warranted for successful excision and </w:t>
      </w:r>
      <w:proofErr w:type="spellStart"/>
      <w:r>
        <w:t>reapproximation</w:t>
      </w:r>
      <w:proofErr w:type="spellEnd"/>
      <w:r>
        <w:t xml:space="preserve"> of skin and/or fascial defects. Noninvasive therapies including ultrasonic ablation or cryotherapy are also emerging as promising treatment strategies in select patients.</w:t>
      </w:r>
    </w:p>
    <w:p w14:paraId="1547751D" w14:textId="77777777" w:rsidR="004B79F8" w:rsidRDefault="004B79F8" w:rsidP="004B79F8">
      <w:r w:rsidRPr="004B79F8">
        <w:rPr>
          <w:b/>
          <w:bCs/>
        </w:rPr>
        <w:t>Summary:</w:t>
      </w:r>
      <w:r>
        <w:t xml:space="preserve"> Recent studies provide further evidence to guide diagnosis through physical exam and imaging as well as pretreatment planning. Treatment options for AWE are rapidly expanding with novel approaches in minimally invasive and noninvasive therapies now available.</w:t>
      </w:r>
    </w:p>
    <w:p w14:paraId="044719CE" w14:textId="77777777" w:rsidR="004B79F8" w:rsidRDefault="004B79F8"/>
    <w:sectPr w:rsidR="004B79F8">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9F8"/>
    <w:rsid w:val="004B79F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C8626"/>
  <w15:chartTrackingRefBased/>
  <w15:docId w15:val="{5E2B888D-9F21-4E4A-B642-AA4B0EA4D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79F8"/>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206</Words>
  <Characters>1176</Characters>
  <Application>Microsoft Office Word</Application>
  <DocSecurity>0</DocSecurity>
  <Lines>9</Lines>
  <Paragraphs>2</Paragraphs>
  <ScaleCrop>false</ScaleCrop>
  <Company/>
  <LinksUpToDate>false</LinksUpToDate>
  <CharactersWithSpaces>1380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2021-06-10T20:46:00Z</dcterms:created>
  <dcterms:modified xsi:type="dcterms:W3CDTF">2021-06-10T20:47:00Z</dcterms:modified>
</cp:coreProperties>
</file>