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316ABF" w14:textId="77777777" w:rsidR="00D369A0" w:rsidRPr="00D369A0" w:rsidRDefault="00D369A0" w:rsidP="00D369A0">
      <w:pPr>
        <w:rPr>
          <w:b/>
          <w:bCs/>
        </w:rPr>
      </w:pPr>
      <w:r w:rsidRPr="00D369A0">
        <w:rPr>
          <w:b/>
          <w:bCs/>
        </w:rPr>
        <w:t>Abstract</w:t>
      </w:r>
    </w:p>
    <w:p w14:paraId="0BD8E49A" w14:textId="77777777" w:rsidR="00D369A0" w:rsidRDefault="00D369A0" w:rsidP="00D369A0">
      <w:r>
        <w:t>Malignant transformation of endometriosis is rare, and most cases concern the ovaries, while extraovarian cases are mostly found in the rectovaginal septum. Incisional adenocarcinoma is extremely rare, with only few cases reported in the literature, while their molecular profile remains unknown. Thus, we report on an abdominal wall cesarean section scar endometrioid adenocarcinoma studied by next-generation sequencing and microsatellite instability analysis.</w:t>
      </w:r>
    </w:p>
    <w:p w14:paraId="71C7D067" w14:textId="77777777" w:rsidR="00D369A0" w:rsidRDefault="00D369A0"/>
    <w:sectPr w:rsidR="00D369A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9A0"/>
    <w:rsid w:val="00D369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0984E"/>
  <w15:chartTrackingRefBased/>
  <w15:docId w15:val="{B1A0C146-86DD-4484-BBF6-BDF1141EB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9A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70</Words>
  <Characters>403</Characters>
  <Application>Microsoft Office Word</Application>
  <DocSecurity>0</DocSecurity>
  <Lines>3</Lines>
  <Paragraphs>1</Paragraphs>
  <ScaleCrop>false</ScaleCrop>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2021-06-19T21:08:00Z</dcterms:created>
  <dcterms:modified xsi:type="dcterms:W3CDTF">2021-06-19T21:09:00Z</dcterms:modified>
</cp:coreProperties>
</file>