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4E3C4" w14:textId="77777777" w:rsidR="002807C8" w:rsidRPr="002807C8" w:rsidRDefault="002807C8" w:rsidP="002807C8">
      <w:pPr>
        <w:rPr>
          <w:b/>
          <w:bCs/>
        </w:rPr>
      </w:pPr>
      <w:r w:rsidRPr="002807C8">
        <w:rPr>
          <w:b/>
          <w:bCs/>
        </w:rPr>
        <w:t>Abstract</w:t>
      </w:r>
    </w:p>
    <w:p w14:paraId="29A2BAD5" w14:textId="77777777" w:rsidR="002807C8" w:rsidRDefault="002807C8" w:rsidP="002807C8">
      <w:r>
        <w:t>Endometriosis and cancer have much in common, notably their burgeoning of cells in hypoxic milieus, their invasiveness, and their capacity to trigger remodeling, vascularization, and innervation of other tissues. An important role in these processes is played by permissive microenvironments inhabited by a variety of stromal and immune cells, including macrophages. Remarkable phenotypical plasticity of macrophages makes them a promising therapeutic target; some key issues are the range of macrophage phenotypes characteristic of a particular pathology and the possible manners of its modulation. In both endometriosis and cancer, macrophages guard the lesions from immune surveillance while promoting pathological cell growth, invasion, and metastasis. This review article focuses on a comparative analysis of macrophage behaviors in endometriosis and cancer. We also highlight recent reports on the experimental modulation of macrophage phenotypes in preclinical models of endometriosis and cancer.</w:t>
      </w:r>
    </w:p>
    <w:p w14:paraId="3915EDE9" w14:textId="77777777" w:rsidR="002807C8" w:rsidRPr="002807C8" w:rsidRDefault="002807C8" w:rsidP="002807C8"/>
    <w:sectPr w:rsidR="002807C8" w:rsidRPr="002807C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7C8"/>
    <w:rsid w:val="002807C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C1B7C"/>
  <w15:chartTrackingRefBased/>
  <w15:docId w15:val="{22F2C334-45A1-467B-8B1A-3E7D86CA6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7C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151</Words>
  <Characters>863</Characters>
  <Application>Microsoft Office Word</Application>
  <DocSecurity>0</DocSecurity>
  <Lines>7</Lines>
  <Paragraphs>2</Paragraphs>
  <ScaleCrop>false</ScaleCrop>
  <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2021-06-10T20:46:00Z</dcterms:created>
  <dcterms:modified xsi:type="dcterms:W3CDTF">2021-06-10T20:46:00Z</dcterms:modified>
</cp:coreProperties>
</file>