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7AE96" w14:textId="77777777" w:rsidR="00DA3D26" w:rsidRPr="00DA3D26" w:rsidRDefault="00DA3D26" w:rsidP="00DA3D26">
      <w:pPr>
        <w:rPr>
          <w:b/>
          <w:bCs/>
        </w:rPr>
      </w:pPr>
      <w:r w:rsidRPr="00DA3D26">
        <w:rPr>
          <w:b/>
          <w:bCs/>
        </w:rPr>
        <w:t>Abstract</w:t>
      </w:r>
    </w:p>
    <w:p w14:paraId="6D515F65" w14:textId="77777777" w:rsidR="00DA3D26" w:rsidRDefault="00DA3D26" w:rsidP="00DA3D26">
      <w:r>
        <w:t xml:space="preserve">The pathophysiology of endometriosis is still unknown and treatment options remain controversial. Searches focus on angiogenesis, stem cells, immunologic and inflammatory factors. This study investigated the effects of etanercept and cabergoline on ovaries, ectopic, and </w:t>
      </w:r>
      <w:proofErr w:type="spellStart"/>
      <w:r>
        <w:t>eutopic</w:t>
      </w:r>
      <w:proofErr w:type="spellEnd"/>
      <w:r>
        <w:t xml:space="preserve"> endometrium in an endometriosis rat model. This randomized, placebo-controlled, blinded study included 50 rats, Co(control), </w:t>
      </w:r>
      <w:proofErr w:type="spellStart"/>
      <w:proofErr w:type="gramStart"/>
      <w:r>
        <w:t>Sh</w:t>
      </w:r>
      <w:proofErr w:type="spellEnd"/>
      <w:r>
        <w:t>(</w:t>
      </w:r>
      <w:proofErr w:type="gramEnd"/>
      <w:r>
        <w:t xml:space="preserve">Sham), </w:t>
      </w:r>
      <w:proofErr w:type="spellStart"/>
      <w:r>
        <w:t>Cb</w:t>
      </w:r>
      <w:proofErr w:type="spellEnd"/>
      <w:r>
        <w:t xml:space="preserve">(cabergoline), E(etanercept), and E + </w:t>
      </w:r>
      <w:proofErr w:type="spellStart"/>
      <w:r>
        <w:t>Cb</w:t>
      </w:r>
      <w:proofErr w:type="spellEnd"/>
      <w:r>
        <w:t xml:space="preserve">(etanercept + cabergoline) groups. After surgical induction of endometriosis, 2nd operation was performed for endometriotic volume and AMH level. After 15 days of treatment: AMH level, flow cytometry, implant volume, histologic scores, immunohistochemical staining of ectopic, </w:t>
      </w:r>
      <w:proofErr w:type="spellStart"/>
      <w:r>
        <w:t>eutopic</w:t>
      </w:r>
      <w:proofErr w:type="spellEnd"/>
      <w:r>
        <w:t xml:space="preserve"> endometrium, and ovary were evaluated at 3rd operation. All groups had significantly reduced volume, TNF-α, VEGF, and CD 146/PDGF-Rβ staining of endometriotic implants comparing to the </w:t>
      </w:r>
      <w:proofErr w:type="spellStart"/>
      <w:r>
        <w:t>Sh</w:t>
      </w:r>
      <w:proofErr w:type="spellEnd"/>
      <w:r>
        <w:t xml:space="preserve"> group (p &lt; 0.05</w:t>
      </w:r>
      <w:proofErr w:type="gramStart"/>
      <w:r>
        <w:t>).TNF</w:t>
      </w:r>
      <w:proofErr w:type="gramEnd"/>
      <w:r>
        <w:t xml:space="preserve">-α staining of </w:t>
      </w:r>
      <w:proofErr w:type="spellStart"/>
      <w:r>
        <w:t>eutopic</w:t>
      </w:r>
      <w:proofErr w:type="spellEnd"/>
      <w:r>
        <w:t xml:space="preserve"> endometrium in all treatment groups was similar to </w:t>
      </w:r>
      <w:proofErr w:type="spellStart"/>
      <w:r>
        <w:t>Sh</w:t>
      </w:r>
      <w:proofErr w:type="spellEnd"/>
      <w:r>
        <w:t xml:space="preserve"> and Co groups (p &gt; 0.05). E and E + </w:t>
      </w:r>
      <w:proofErr w:type="spellStart"/>
      <w:r>
        <w:t>Cb</w:t>
      </w:r>
      <w:proofErr w:type="spellEnd"/>
      <w:r>
        <w:t xml:space="preserve"> groups significantly decreased TNF-α staining in the ovary comparing to </w:t>
      </w:r>
      <w:proofErr w:type="spellStart"/>
      <w:r>
        <w:t>Sh</w:t>
      </w:r>
      <w:proofErr w:type="spellEnd"/>
      <w:r>
        <w:t xml:space="preserve">, Co, and </w:t>
      </w:r>
      <w:proofErr w:type="spellStart"/>
      <w:r>
        <w:t>Cb</w:t>
      </w:r>
      <w:proofErr w:type="spellEnd"/>
      <w:r>
        <w:t xml:space="preserve"> groups (p &lt; 0.05). All treatment groups had significantly higher AFC compared to the </w:t>
      </w:r>
      <w:proofErr w:type="spellStart"/>
      <w:r>
        <w:t>Sh</w:t>
      </w:r>
      <w:proofErr w:type="spellEnd"/>
      <w:r>
        <w:t xml:space="preserve"> group. CD25+ Cells' median percentage was significantly increased in the E + </w:t>
      </w:r>
      <w:proofErr w:type="spellStart"/>
      <w:r>
        <w:t>Cb</w:t>
      </w:r>
      <w:proofErr w:type="spellEnd"/>
      <w:r>
        <w:t xml:space="preserve"> group compared to Co, </w:t>
      </w:r>
      <w:proofErr w:type="spellStart"/>
      <w:r>
        <w:t>Sh</w:t>
      </w:r>
      <w:proofErr w:type="spellEnd"/>
      <w:r>
        <w:t xml:space="preserve">, </w:t>
      </w:r>
      <w:proofErr w:type="spellStart"/>
      <w:r>
        <w:t>Cb</w:t>
      </w:r>
      <w:proofErr w:type="spellEnd"/>
      <w:r>
        <w:t xml:space="preserve">, and E group. E + </w:t>
      </w:r>
      <w:proofErr w:type="spellStart"/>
      <w:r>
        <w:t>Cb</w:t>
      </w:r>
      <w:proofErr w:type="spellEnd"/>
      <w:r>
        <w:t xml:space="preserve"> group had a significantly higher CD5+ Cells' level than the Co group (p = 0.035). In conclusion; Etanercept and/or Cabergoline decreased volume, TNF-α, VEGF, and CD 146/PDGF-Rβ staining of the ectopic endometrial implant. E and E + </w:t>
      </w:r>
      <w:proofErr w:type="spellStart"/>
      <w:r>
        <w:t>Cb</w:t>
      </w:r>
      <w:proofErr w:type="spellEnd"/>
      <w:r>
        <w:t xml:space="preserve"> treatment decreased TNF-α levels in the ovary. E + </w:t>
      </w:r>
      <w:proofErr w:type="spellStart"/>
      <w:r>
        <w:t>Cb</w:t>
      </w:r>
      <w:proofErr w:type="spellEnd"/>
      <w:r>
        <w:t xml:space="preserve"> also increased peripheral blood CD25+ &amp; CD5+ Cell's.</w:t>
      </w:r>
    </w:p>
    <w:p w14:paraId="1D092389" w14:textId="77777777" w:rsidR="00DA3D26" w:rsidRDefault="00DA3D26"/>
    <w:sectPr w:rsidR="00DA3D2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D26"/>
    <w:rsid w:val="00DA3D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48E0A"/>
  <w15:chartTrackingRefBased/>
  <w15:docId w15:val="{1E38452D-8316-4246-9015-ACE4F62A4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D2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257</Words>
  <Characters>1465</Characters>
  <Application>Microsoft Office Word</Application>
  <DocSecurity>0</DocSecurity>
  <Lines>12</Lines>
  <Paragraphs>3</Paragraphs>
  <ScaleCrop>false</ScaleCrop>
  <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2021-07-09T11:52:00Z</dcterms:created>
  <dcterms:modified xsi:type="dcterms:W3CDTF">2021-07-09T11:53:00Z</dcterms:modified>
</cp:coreProperties>
</file>