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B282D3" w14:textId="77777777" w:rsidR="002045CE" w:rsidRPr="002045CE" w:rsidRDefault="002045CE" w:rsidP="002045CE">
      <w:pPr>
        <w:rPr>
          <w:b/>
          <w:bCs/>
        </w:rPr>
      </w:pPr>
      <w:r w:rsidRPr="002045CE">
        <w:rPr>
          <w:b/>
          <w:bCs/>
        </w:rPr>
        <w:t>Abstract</w:t>
      </w:r>
    </w:p>
    <w:p w14:paraId="2B5184A3" w14:textId="77777777" w:rsidR="002045CE" w:rsidRDefault="002045CE" w:rsidP="002045CE">
      <w:r>
        <w:t>Management of women with endometriosis in general is complex. It requires a multidisciplinary and tailored approach. The time of in-vitro fertilization (IVF) may be particularly complicated because women with the disease face peculiar additional risks. In particular, oocytes retrieval may be more difficult and women with endometriomas are exposed to a low but consistent risk of infection and ovarian abscess development. There are also concerns regarding progression of deep invasive peritoneal lesions and misdiagnosis of an occult early ovarian cancer. However, evidence on these latter points is more controversial. Taken together, this body evidence is generally reassuring and does not justify prophylactic surgery prior to IVF to shrink these risks. However, given the uncertainties, women with endometriosis must be informed in depth of these peculiar additional risks.</w:t>
      </w:r>
    </w:p>
    <w:p w14:paraId="395448B2" w14:textId="77777777" w:rsidR="002045CE" w:rsidRDefault="002045CE"/>
    <w:sectPr w:rsidR="002045C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5CE"/>
    <w:rsid w:val="002045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66F28"/>
  <w15:chartTrackingRefBased/>
  <w15:docId w15:val="{2F800015-E25F-46DD-ACC5-7B98E9EC4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5C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132</Words>
  <Characters>758</Characters>
  <Application>Microsoft Office Word</Application>
  <DocSecurity>0</DocSecurity>
  <Lines>6</Lines>
  <Paragraphs>1</Paragraphs>
  <ScaleCrop>false</ScaleCrop>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2021-07-09T12:13:00Z</dcterms:created>
  <dcterms:modified xsi:type="dcterms:W3CDTF">2021-07-09T12:13:00Z</dcterms:modified>
</cp:coreProperties>
</file>