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76B5E2" w14:textId="77777777" w:rsidR="008215B7" w:rsidRPr="008215B7" w:rsidRDefault="008215B7" w:rsidP="008215B7">
      <w:pPr>
        <w:rPr>
          <w:b/>
          <w:bCs/>
        </w:rPr>
      </w:pPr>
      <w:r w:rsidRPr="008215B7">
        <w:rPr>
          <w:b/>
          <w:bCs/>
        </w:rPr>
        <w:t>Abstract</w:t>
      </w:r>
    </w:p>
    <w:p w14:paraId="602C6994" w14:textId="77777777" w:rsidR="008215B7" w:rsidRDefault="008215B7" w:rsidP="008215B7">
      <w:r>
        <w:t>Endometriosis can take one of three forms depending on its clinical presentation and management: endometriotic ovarian cyst (ovarian endometrioma), superficial or peritoneal endometriosis and deep infiltrating endometriosis (DIE).1Among them, DIE is considered the most aggressive, and the patient is often affected by more than one type together. The therapeutic methodology should not be influenced by a combination of different types of endometriotic lesion. According to the clinical context and the patient's needs, the treatment of this pathology can be medical or surgical. Although medical therapy could improve endometriosis-associated symptoms, it never offers a definite treatment for symptomatic patients, who often require surgical treatment. The rationale behind endometriosis surgical treatment is to achieve the complete removal of all lesions through a one-step surgical procedure; to obtain promising long-term results for pelvic pain, recurrence rate, and fertility; and to protect the functionality of the involved organs. Achieving these results depends on the total removal of the pathology from the pelvis, in an attempt to preserve, as much as possible, the healthy tissues surrounding the site of the disease. The choice of a surgical approach rather than medical therapy is subject to the patient's expectations, such as pregnancy desire, the effectiveness of treatment compared to possible complications, the type of pain and its intensity, and the location and severity of the disease. In this context, surgical management using a multidisciplinary endometriosis team is an important factor for achieving good outcomes.</w:t>
      </w:r>
    </w:p>
    <w:p w14:paraId="48F8675C" w14:textId="77777777" w:rsidR="008215B7" w:rsidRDefault="008215B7"/>
    <w:sectPr w:rsidR="008215B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5B7"/>
    <w:rsid w:val="008215B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9A64E"/>
  <w15:chartTrackingRefBased/>
  <w15:docId w15:val="{5330CF53-AE42-4D15-8853-42ED66D96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5B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247</Words>
  <Characters>1411</Characters>
  <Application>Microsoft Office Word</Application>
  <DocSecurity>0</DocSecurity>
  <Lines>11</Lines>
  <Paragraphs>3</Paragraphs>
  <ScaleCrop>false</ScaleCrop>
  <Company/>
  <LinksUpToDate>false</LinksUpToDate>
  <CharactersWithSpaces>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2021-07-09T12:14:00Z</dcterms:created>
  <dcterms:modified xsi:type="dcterms:W3CDTF">2021-07-09T12:15:00Z</dcterms:modified>
</cp:coreProperties>
</file>