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9250AC" w14:textId="77777777" w:rsidR="00384023" w:rsidRPr="00384023" w:rsidRDefault="00384023" w:rsidP="00384023">
      <w:pPr>
        <w:rPr>
          <w:b/>
          <w:bCs/>
        </w:rPr>
      </w:pPr>
      <w:r w:rsidRPr="00384023">
        <w:rPr>
          <w:b/>
          <w:bCs/>
        </w:rPr>
        <w:t>Abstract</w:t>
      </w:r>
    </w:p>
    <w:p w14:paraId="762DBF02" w14:textId="77777777" w:rsidR="00384023" w:rsidRDefault="00384023" w:rsidP="00384023">
      <w:r>
        <w:t>Endometriosis is a complex and chronic estrogen-dependent disease, affecting a significant proportion of women of reproductive age. Despite the long interest and extensive research, the pathogenesis of the disease is still debated. Although available non-invasive diagnostic methods have adequate accuracy, an invasive approach by laparoscopy is often necessary to obtain histological confirmation. In this scenario, the search for an accurate, reliable, cost-effective, clinically applicable non-invasive biomarker plays a crucial role in a potentially early diagnosis and, in this way, shape the future management of the disease. Considering these elements, the current review aims to summarize the most significant and novel results about biomarkers for the diagnosis and follow-up of women affected by endometriosis.</w:t>
      </w:r>
    </w:p>
    <w:p w14:paraId="30E147BE" w14:textId="77777777" w:rsidR="00384023" w:rsidRDefault="00384023"/>
    <w:sectPr w:rsidR="0038402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023"/>
    <w:rsid w:val="003840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75AD7"/>
  <w15:chartTrackingRefBased/>
  <w15:docId w15:val="{E37050DF-4055-401E-8CE9-7D7A6D1DD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02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2021-07-09T11:45:00Z</dcterms:created>
  <dcterms:modified xsi:type="dcterms:W3CDTF">2021-07-09T11:46:00Z</dcterms:modified>
</cp:coreProperties>
</file>