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0ADDAB" w14:textId="77777777" w:rsidR="00CE087C" w:rsidRPr="00CE087C" w:rsidRDefault="00CE087C" w:rsidP="00CE087C">
      <w:pPr>
        <w:rPr>
          <w:b/>
          <w:bCs/>
        </w:rPr>
      </w:pPr>
      <w:r w:rsidRPr="00CE087C">
        <w:rPr>
          <w:b/>
          <w:bCs/>
        </w:rPr>
        <w:t>Abstract</w:t>
      </w:r>
    </w:p>
    <w:p w14:paraId="05B23F45" w14:textId="77777777" w:rsidR="00CE087C" w:rsidRDefault="00CE087C" w:rsidP="00CE087C">
      <w:r w:rsidRPr="00CE087C">
        <w:rPr>
          <w:b/>
          <w:bCs/>
        </w:rPr>
        <w:t>Objective:</w:t>
      </w:r>
      <w:r>
        <w:t xml:space="preserve"> To evaluate the efficacy of subcutaneous </w:t>
      </w:r>
      <w:proofErr w:type="spellStart"/>
      <w:r>
        <w:t>etonogestrel</w:t>
      </w:r>
      <w:proofErr w:type="spellEnd"/>
      <w:r>
        <w:t xml:space="preserve"> implants for adenomyosis.</w:t>
      </w:r>
    </w:p>
    <w:p w14:paraId="6E05DB1A" w14:textId="77777777" w:rsidR="00CE087C" w:rsidRDefault="00CE087C" w:rsidP="00CE087C">
      <w:r w:rsidRPr="00CE087C">
        <w:rPr>
          <w:b/>
          <w:bCs/>
        </w:rPr>
        <w:t>Methods:</w:t>
      </w:r>
      <w:r>
        <w:t xml:space="preserve"> We conducted a clinical observational study of 20 patients suffering from adenomyosis treated with subcutaneous </w:t>
      </w:r>
      <w:proofErr w:type="spellStart"/>
      <w:r>
        <w:t>etonogestrel</w:t>
      </w:r>
      <w:proofErr w:type="spellEnd"/>
      <w:r>
        <w:t xml:space="preserve"> implants from August 2015 to July 2017 and followed up for 36 months. We evaluated the efficacy of subcutaneous </w:t>
      </w:r>
      <w:proofErr w:type="spellStart"/>
      <w:r>
        <w:t>etonogestrel</w:t>
      </w:r>
      <w:proofErr w:type="spellEnd"/>
      <w:r>
        <w:t xml:space="preserve"> implants primarily based on the following indicators: the pictorial blood loss assessment chart (PBAC) for menstrual blood volume, changes in bleeding patterns, the visual </w:t>
      </w:r>
      <w:proofErr w:type="spellStart"/>
      <w:r>
        <w:t>analog</w:t>
      </w:r>
      <w:proofErr w:type="spellEnd"/>
      <w:r>
        <w:t xml:space="preserve"> scale (VAS) pain score for dysmenorrhea, uterine volume, serum cancer antigen 125 (CA125) levels, </w:t>
      </w:r>
      <w:proofErr w:type="spellStart"/>
      <w:r>
        <w:t>hemoglobin</w:t>
      </w:r>
      <w:proofErr w:type="spellEnd"/>
      <w:r>
        <w:t xml:space="preserve"> levels and side effects.</w:t>
      </w:r>
    </w:p>
    <w:p w14:paraId="0AACCC18" w14:textId="2231DD5C" w:rsidR="00CE087C" w:rsidRDefault="00CE087C" w:rsidP="00CE087C">
      <w:r w:rsidRPr="00CE087C">
        <w:rPr>
          <w:b/>
          <w:bCs/>
        </w:rPr>
        <w:t>Results:</w:t>
      </w:r>
      <w:r>
        <w:t xml:space="preserve"> During the 3 years of follow-up, subcutaneous </w:t>
      </w:r>
      <w:proofErr w:type="spellStart"/>
      <w:r>
        <w:t>etonogestrel</w:t>
      </w:r>
      <w:proofErr w:type="spellEnd"/>
      <w:r>
        <w:t xml:space="preserve"> implants were removed from six patients, among whom one was diagnosed with endometrial cancer, four had an increased menstrual blood volume, and one entered menopause. In total, 14 patients were treated with subcutaneous </w:t>
      </w:r>
      <w:proofErr w:type="spellStart"/>
      <w:r>
        <w:t>etonogestrel</w:t>
      </w:r>
      <w:proofErr w:type="spellEnd"/>
      <w:r>
        <w:t xml:space="preserve"> implants for 3 years. Among these patients, the number of patients with heavy menstrual bleeding and high PBAC and VAS scores and serum CA125 levels was significantly decreased after implantation compared with that before implantation. In the eight patients with </w:t>
      </w:r>
      <w:proofErr w:type="spellStart"/>
      <w:r>
        <w:t>anemia</w:t>
      </w:r>
      <w:proofErr w:type="spellEnd"/>
      <w:r>
        <w:t xml:space="preserve">, </w:t>
      </w:r>
      <w:proofErr w:type="spellStart"/>
      <w:r>
        <w:t>hemoglobin</w:t>
      </w:r>
      <w:proofErr w:type="spellEnd"/>
      <w:r>
        <w:t xml:space="preserve"> levels increased gradually. However, the uterine volumes did not significantly change. Bleeding patterns were changed but were tolerable.</w:t>
      </w:r>
    </w:p>
    <w:p w14:paraId="2DE70A62" w14:textId="24707E5F" w:rsidR="00CE087C" w:rsidRDefault="00CE087C" w:rsidP="00CE087C">
      <w:r w:rsidRPr="00CE087C">
        <w:rPr>
          <w:b/>
          <w:bCs/>
        </w:rPr>
        <w:t>Conclusion:</w:t>
      </w:r>
      <w:r>
        <w:t xml:space="preserve"> Subcutaneous </w:t>
      </w:r>
      <w:proofErr w:type="spellStart"/>
      <w:r>
        <w:t>etonogestrel</w:t>
      </w:r>
      <w:proofErr w:type="spellEnd"/>
      <w:r>
        <w:t xml:space="preserve"> implants represent a new option for the clinical treatment of adenomyosis for patients who refuse surgery</w:t>
      </w:r>
    </w:p>
    <w:sectPr w:rsidR="00CE087C">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87C"/>
    <w:rsid w:val="00CE087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2A316"/>
  <w15:chartTrackingRefBased/>
  <w15:docId w15:val="{E670AB89-7438-4A82-BB5A-4A16C7F96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087C"/>
    <w:rPr>
      <w:lang w:val="en-G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229</Words>
  <Characters>1309</Characters>
  <Application>Microsoft Office Word</Application>
  <DocSecurity>0</DocSecurity>
  <Lines>10</Lines>
  <Paragraphs>3</Paragraphs>
  <ScaleCrop>false</ScaleCrop>
  <Company/>
  <LinksUpToDate>false</LinksUpToDate>
  <CharactersWithSpaces>1535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2021-09-11T20:58:00Z</dcterms:created>
  <dcterms:modified xsi:type="dcterms:W3CDTF">2021-09-11T20:59:00Z</dcterms:modified>
</cp:coreProperties>
</file>