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Study objective:</w:t>
      </w:r>
      <w:r>
        <w:rPr/>
        <w:t xml:space="preserve"> To investigate the therapeutic efficacy of catheter-directed ethanol sclerotherapy (CDS) and its effect on ovarian reserve in patients with endometrioma at risk of decreased ovarian reserve.</w:t>
      </w:r>
    </w:p>
    <w:p>
      <w:pPr>
        <w:pStyle w:val="Normal"/>
        <w:rPr/>
      </w:pPr>
      <w:r>
        <w:rPr>
          <w:b/>
          <w:bCs/>
        </w:rPr>
        <w:t>Design:</w:t>
      </w:r>
      <w:r>
        <w:rPr/>
        <w:t xml:space="preserve"> A retrospective study.</w:t>
      </w:r>
    </w:p>
    <w:p>
      <w:pPr>
        <w:pStyle w:val="Normal"/>
        <w:rPr/>
      </w:pPr>
      <w:r>
        <w:rPr>
          <w:b/>
          <w:bCs/>
        </w:rPr>
        <w:t>Setting:</w:t>
      </w:r>
      <w:r>
        <w:rPr/>
        <w:t xml:space="preserve"> A teaching hospital.</w:t>
      </w:r>
    </w:p>
    <w:p>
      <w:pPr>
        <w:pStyle w:val="Normal"/>
        <w:rPr/>
      </w:pPr>
      <w:r>
        <w:rPr>
          <w:b/>
          <w:bCs/>
        </w:rPr>
        <w:t>Patients:</w:t>
      </w:r>
      <w:r>
        <w:rPr/>
        <w:t xml:space="preserve"> We evaluated 18 patients with ovarian endometrioma measuring ≥3 cm and pre-procedural serum anti-Müllerian hormone (AMH) levels of &lt;2 ng/mL.</w:t>
      </w:r>
    </w:p>
    <w:p>
      <w:pPr>
        <w:pStyle w:val="Normal"/>
        <w:rPr/>
      </w:pPr>
      <w:r>
        <w:rPr>
          <w:b/>
          <w:bCs/>
        </w:rPr>
        <w:t>Interventions:</w:t>
      </w:r>
      <w:r>
        <w:rPr/>
        <w:t xml:space="preserve"> An 8.5-F catheter was inserted either transabdominally or transvaginally into the endometrioma. Following aspiration, sclerotherapy with 99% ethanol was performed, with subsequent 20-minute ethanol retention.</w:t>
      </w:r>
    </w:p>
    <w:p>
      <w:pPr>
        <w:pStyle w:val="Normal"/>
        <w:rPr/>
      </w:pPr>
      <w:r>
        <w:rPr>
          <w:b/>
          <w:bCs/>
        </w:rPr>
        <w:t>Measurements and main results:</w:t>
      </w:r>
      <w:r>
        <w:rPr/>
        <w:t xml:space="preserve"> Ultrasonography (US) was performed pre-procedurally and 6 months following CDS to evaluate any recurrence or changes in cyst size. Further, serum AMH levels, CA-125 levels, and the visual analog scale (VAS) scores for dysmenorrhea were obtained to analyze the ovarian reserve and treatment efficacy, pre-procedurally and at 6 months after CDS. The mean cyst size on US and serum CA-125 levels decreased 6 months after CDS (p &lt; .001, and p = .001, respectively). All patients reported a decreased VAS score for dysmenorrhea (p &lt; .001). However, the difference in serum AMH levels before and after CDS was statistically insignificant (p = .875).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CDS was efficacious in reducing pain and serum CA-125 levels in patients with low AMH levels without adversely affecting their ovarian reserve.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f1981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LibreOffice/6.3.3.2$Windows_X86_64 LibreOffice_project/a64200df03143b798afd1ec74a12ab50359878ed</Application>
  <Pages>1</Pages>
  <Words>214</Words>
  <Characters>1270</Characters>
  <CharactersWithSpaces>1476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2021-09-11T20:07:00Z</dcterms:created>
  <dc:creator>HALE GÖKSEVER ÇELİK</dc:creator>
  <dc:description/>
  <dc:language>tr-TR</dc:language>
  <cp:lastModifiedBy>HALE GÖKSEVER ÇELİK</cp:lastModifiedBy>
  <dcterms:modified xsi:type="dcterms:W3CDTF">2021-09-11T20:09:00Z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