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5BB28" w14:textId="77777777" w:rsidR="00E42E02" w:rsidRPr="00E42E02" w:rsidRDefault="00E42E02" w:rsidP="00E42E02">
      <w:pPr>
        <w:rPr>
          <w:b/>
          <w:bCs/>
        </w:rPr>
      </w:pPr>
      <w:r w:rsidRPr="00E42E02">
        <w:rPr>
          <w:b/>
          <w:bCs/>
        </w:rPr>
        <w:t>Abstract</w:t>
      </w:r>
    </w:p>
    <w:p w14:paraId="35E9C7AC" w14:textId="77777777" w:rsidR="00E42E02" w:rsidRDefault="00E42E02" w:rsidP="00E42E02">
      <w:r>
        <w:t>Women with histologically proven endometriosis/adenomyosis have an increased risk of ovarian cancer. Small studies show conflicting results on the endometrial cancer risk in women with endometriosis/adenomyosis. Therefore, we assessed the incidence of endometrial cancer in women with histologically proven endometriosis or adenomyosis. We performed a population-based retrospective cohort study of 129,862 women with histologically proven endometriosis/adenomyosis, matched with 132,700 women with a nevus selected from the Dutch pathology registry between 1990 and 2015. Histology results for endometrial cancer were retrieved. Crude and age-adjusted odds ratios for endometrial cancer were estimated. In the endometriosis/adenomyosis group, 1827 (1.4%) women had a histological report on endometrial cancer, and in the nevus group, 771 (0.6%) women. The age-adjusted OR for endometrial cancer was 2.58 (95%CI 2.37-2.81). After excluding the first year of follow-up, the age-adjusted OR was 0.76 (95%CI 0.63-0.92), indicating that endometrial cancer is most often found at time of histological diagnosis of endometriosis/adenomyosis. In around 20% of the endometrial cancer cases, the endometrial cancer was not recognized until after hysterectomy. Of these women, 35% had no prior (micro)curettage or biopsy. This study shows an increased incidence of endometrial cancer in women with histologically proven endometriosis and adenomyosis.</w:t>
      </w:r>
    </w:p>
    <w:p w14:paraId="49DFA6F0" w14:textId="77777777" w:rsidR="00E42E02" w:rsidRDefault="00E42E02"/>
    <w:sectPr w:rsidR="00E42E0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E02"/>
    <w:rsid w:val="00E4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35D64"/>
  <w15:chartTrackingRefBased/>
  <w15:docId w15:val="{73A72443-7573-41E7-B142-9C65360F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E0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2021-10-07T08:42:00Z</dcterms:created>
  <dcterms:modified xsi:type="dcterms:W3CDTF">2021-10-07T08:42:00Z</dcterms:modified>
</cp:coreProperties>
</file>