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B5CDE" w14:textId="77777777" w:rsidR="00C8549F" w:rsidRPr="00C8549F" w:rsidRDefault="00C8549F" w:rsidP="00C8549F">
      <w:pPr>
        <w:rPr>
          <w:b/>
          <w:bCs/>
        </w:rPr>
      </w:pPr>
      <w:r w:rsidRPr="00C8549F">
        <w:rPr>
          <w:b/>
          <w:bCs/>
        </w:rPr>
        <w:t>Abstract</w:t>
      </w:r>
    </w:p>
    <w:p w14:paraId="1EC6A5EA" w14:textId="77777777" w:rsidR="00C8549F" w:rsidRDefault="00C8549F" w:rsidP="00C8549F">
      <w:r w:rsidRPr="00C8549F">
        <w:rPr>
          <w:b/>
          <w:bCs/>
        </w:rPr>
        <w:t>Purpose:</w:t>
      </w:r>
      <w:r>
        <w:t xml:space="preserve"> Endometriosis is defined as a common gynecologic and inflammatory disease. Transforming growth factor-beta 1 (TGF-β1) gene and its protein level might play a role in the pathogenesis of endometriosis. The present study aimed for the first time to assess the associations between endometriosis risk and - 509 C/T (rs1800469) variant of the TGF-β1 gene as well as TGF-β1 mRNA expression in </w:t>
      </w:r>
      <w:proofErr w:type="spellStart"/>
      <w:r>
        <w:t>eutopic</w:t>
      </w:r>
      <w:proofErr w:type="spellEnd"/>
      <w:r>
        <w:t xml:space="preserve"> endometrium tissue of patients with and without endometriosis among a group of Iranian women.</w:t>
      </w:r>
    </w:p>
    <w:p w14:paraId="45D7BFD3" w14:textId="77777777" w:rsidR="00C8549F" w:rsidRDefault="00C8549F" w:rsidP="00C8549F">
      <w:r w:rsidRPr="00C8549F">
        <w:rPr>
          <w:b/>
          <w:bCs/>
        </w:rPr>
        <w:t>Methods:</w:t>
      </w:r>
      <w:r>
        <w:t xml:space="preserve"> Genotyping was carried out in 100 endometriosis patients (cases) with confirmed histological diagnosis of endometriosis and 197 non-endometriosis subjects (controls). The expression level of TGF-β1 mRNA was determined using Real-Time PCR assay in 15 </w:t>
      </w:r>
      <w:proofErr w:type="spellStart"/>
      <w:r>
        <w:t>eutopic</w:t>
      </w:r>
      <w:proofErr w:type="spellEnd"/>
      <w:r>
        <w:t xml:space="preserve"> endometrium tissue of women with endometriosis and 15 healthy controls.</w:t>
      </w:r>
    </w:p>
    <w:p w14:paraId="00E6D5E0" w14:textId="77777777" w:rsidR="00C8549F" w:rsidRDefault="00C8549F" w:rsidP="00C8549F">
      <w:r w:rsidRPr="00C8549F">
        <w:rPr>
          <w:b/>
          <w:bCs/>
        </w:rPr>
        <w:t>Results:</w:t>
      </w:r>
      <w:r>
        <w:t xml:space="preserve"> There was a significant association for allele and genotype frequencies of rs1800469 variant and endometriosis. No significant difference for TGF-β1 expression was observed between </w:t>
      </w:r>
      <w:proofErr w:type="spellStart"/>
      <w:r>
        <w:t>eutopic</w:t>
      </w:r>
      <w:proofErr w:type="spellEnd"/>
      <w:r>
        <w:t xml:space="preserve"> endometrium of patients and healthy group. Also, evaluation of TGF-β1expression across the menstrual cycle showed the same level of TGF-β1 among case and control subjects.</w:t>
      </w:r>
    </w:p>
    <w:p w14:paraId="32A7AC25" w14:textId="77777777" w:rsidR="00C8549F" w:rsidRDefault="00C8549F" w:rsidP="00C8549F">
      <w:r w:rsidRPr="00C8549F">
        <w:rPr>
          <w:b/>
          <w:bCs/>
        </w:rPr>
        <w:t>Conclusion:</w:t>
      </w:r>
      <w:r>
        <w:t xml:space="preserve"> Our investigations indicated enough evidence for the effect of TGF-β1 genetic variant on endometriosis risk in an Iranian population. Furthermore, we could not find any relations between TGF-β1 mRNA expression and susceptibility to endometriosis.</w:t>
      </w:r>
    </w:p>
    <w:p w14:paraId="20E0B968" w14:textId="77777777" w:rsidR="00C8549F" w:rsidRDefault="00C8549F"/>
    <w:sectPr w:rsidR="00C8549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49F"/>
    <w:rsid w:val="00C8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2A20A"/>
  <w15:chartTrackingRefBased/>
  <w15:docId w15:val="{5DD2EF77-1DE3-44E4-BA1E-657CCA09A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49F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2021-10-07T09:02:00Z</dcterms:created>
  <dcterms:modified xsi:type="dcterms:W3CDTF">2021-10-07T09:02:00Z</dcterms:modified>
</cp:coreProperties>
</file>