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8B4827" w14:textId="77777777" w:rsidR="00FE29D6" w:rsidRPr="00FE29D6" w:rsidRDefault="00FE29D6" w:rsidP="00FE29D6">
      <w:pPr>
        <w:rPr>
          <w:b/>
          <w:bCs/>
        </w:rPr>
      </w:pPr>
      <w:r w:rsidRPr="00FE29D6">
        <w:rPr>
          <w:b/>
          <w:bCs/>
        </w:rPr>
        <w:t>Abstract</w:t>
      </w:r>
    </w:p>
    <w:p w14:paraId="335BAF26" w14:textId="77777777" w:rsidR="00FE29D6" w:rsidRDefault="00FE29D6" w:rsidP="00FE29D6">
      <w:r w:rsidRPr="00FE29D6">
        <w:rPr>
          <w:b/>
          <w:bCs/>
        </w:rPr>
        <w:t>Objective:</w:t>
      </w:r>
      <w:r>
        <w:t xml:space="preserve"> We examined the hypothesis that antibiotic treatment with or without gonadotropin releasing hormone agonist (</w:t>
      </w:r>
      <w:proofErr w:type="spellStart"/>
      <w:r>
        <w:t>GnRHa</w:t>
      </w:r>
      <w:proofErr w:type="spellEnd"/>
      <w:r>
        <w:t>) may decrease intrauterine infection with consequent decrease in tissue inflammation, cell proliferation and angiogenesis in human endometriosis.</w:t>
      </w:r>
    </w:p>
    <w:p w14:paraId="5F5B1A5F" w14:textId="77777777" w:rsidR="00FE29D6" w:rsidRDefault="00FE29D6" w:rsidP="00FE29D6">
      <w:r w:rsidRPr="00FE29D6">
        <w:rPr>
          <w:b/>
          <w:bCs/>
        </w:rPr>
        <w:t>Study design:</w:t>
      </w:r>
      <w:r>
        <w:t xml:space="preserve"> This is a prospective non-randomized observational study. Endometrial/endometriotic samples were collected during surgery from 53 women with endometriosis and 47 control women who were treated with levofloxacin (LVFX, 500 mg, once per </w:t>
      </w:r>
      <w:proofErr w:type="spellStart"/>
      <w:r>
        <w:t>os</w:t>
      </w:r>
      <w:proofErr w:type="spellEnd"/>
      <w:r>
        <w:t xml:space="preserve">) or </w:t>
      </w:r>
      <w:proofErr w:type="spellStart"/>
      <w:r>
        <w:t>GnRHa</w:t>
      </w:r>
      <w:proofErr w:type="spellEnd"/>
      <w:r>
        <w:t xml:space="preserve"> (1.88 mg/IM for 3 months) before surgery. Endometrial samples were analyzed by broad-range polymerase-chain reaction (PCR) amplification of bacteria targeting V5-V6 region of 16S rRNA gene. Immunohistochemical analysis was performed using antibodies against CD138 (Syndecan-1, a marker of plasma cells), CD68 (marker of macrophages), Ki-67 (cell proliferation marker), and CD31 (vascular cells marker).</w:t>
      </w:r>
    </w:p>
    <w:p w14:paraId="450F98FC" w14:textId="77777777" w:rsidR="00FE29D6" w:rsidRDefault="00FE29D6" w:rsidP="00FE29D6">
      <w:r w:rsidRPr="00FE29D6">
        <w:rPr>
          <w:b/>
          <w:bCs/>
        </w:rPr>
        <w:t>Results:</w:t>
      </w:r>
      <w:r>
        <w:t xml:space="preserve"> 16S rDNA metagenome assay indicated that treatment with either of LVFX or </w:t>
      </w:r>
      <w:proofErr w:type="spellStart"/>
      <w:r>
        <w:t>GnRHa</w:t>
      </w:r>
      <w:proofErr w:type="spellEnd"/>
      <w:r>
        <w:t xml:space="preserve"> + LVFX significantly decreased some components of major bacterial genera comparing to untreated group. In women with endometriosis, treatment with either of LVFX or </w:t>
      </w:r>
      <w:proofErr w:type="spellStart"/>
      <w:r>
        <w:t>GnRHa</w:t>
      </w:r>
      <w:proofErr w:type="spellEnd"/>
      <w:r>
        <w:t xml:space="preserve"> + LVFX significantly decreased Gardnerella, </w:t>
      </w:r>
      <w:proofErr w:type="spellStart"/>
      <w:r>
        <w:t>Prevotella</w:t>
      </w:r>
      <w:proofErr w:type="spellEnd"/>
      <w:r>
        <w:t xml:space="preserve">, </w:t>
      </w:r>
      <w:proofErr w:type="spellStart"/>
      <w:r>
        <w:t>Acidibactor</w:t>
      </w:r>
      <w:proofErr w:type="spellEnd"/>
      <w:r>
        <w:t xml:space="preserve">, </w:t>
      </w:r>
      <w:proofErr w:type="spellStart"/>
      <w:r>
        <w:t>Atopobium</w:t>
      </w:r>
      <w:proofErr w:type="spellEnd"/>
      <w:r>
        <w:t xml:space="preserve">, </w:t>
      </w:r>
      <w:proofErr w:type="spellStart"/>
      <w:r>
        <w:t>Megasphaera</w:t>
      </w:r>
      <w:proofErr w:type="spellEnd"/>
      <w:r>
        <w:t xml:space="preserve">, and </w:t>
      </w:r>
      <w:proofErr w:type="spellStart"/>
      <w:r>
        <w:t>Bradyrhizobium</w:t>
      </w:r>
      <w:proofErr w:type="spellEnd"/>
      <w:r>
        <w:t xml:space="preserve"> (p &lt; 0.05 for each) comparing to untreated group. Cochran-Mantel-Haenszel test indicated that occurrence rate of chronic endometritis was significantly decreased after </w:t>
      </w:r>
      <w:proofErr w:type="spellStart"/>
      <w:r>
        <w:t>GnRHa</w:t>
      </w:r>
      <w:proofErr w:type="spellEnd"/>
      <w:r>
        <w:t xml:space="preserve"> + LVFX treatment comparing to </w:t>
      </w:r>
      <w:proofErr w:type="spellStart"/>
      <w:r>
        <w:t>GnRHa</w:t>
      </w:r>
      <w:proofErr w:type="spellEnd"/>
      <w:r>
        <w:t xml:space="preserve"> treatment group (p = 0.041). These findings were coincided with significantly decreased CD68-stained macrophage infiltration, Ki-67- stained cell proliferation and CD31-stained micro-vessel density in endometria and endometriotic lesions with histology proven improvement in the morphological appearance of ovarian endometrioma.</w:t>
      </w:r>
    </w:p>
    <w:p w14:paraId="026CD9A9" w14:textId="77777777" w:rsidR="00FE29D6" w:rsidRDefault="00FE29D6" w:rsidP="00FE29D6">
      <w:r w:rsidRPr="00FE29D6">
        <w:rPr>
          <w:b/>
          <w:bCs/>
        </w:rPr>
        <w:t>Conclusions:</w:t>
      </w:r>
      <w:r>
        <w:t xml:space="preserve"> These findings suggest that clinical administration of a broad-spectrum antibiotic with or without </w:t>
      </w:r>
      <w:proofErr w:type="spellStart"/>
      <w:r>
        <w:t>GnRHa</w:t>
      </w:r>
      <w:proofErr w:type="spellEnd"/>
      <w:r>
        <w:t xml:space="preserve"> may be effective in improving uterine infection with decrease of tissue inflammation, cell proliferation, and angiogenesis in human endometriosis.</w:t>
      </w:r>
    </w:p>
    <w:p w14:paraId="3B423953" w14:textId="77777777" w:rsidR="00FE29D6" w:rsidRDefault="00FE29D6"/>
    <w:sectPr w:rsidR="00FE29D6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29D6"/>
    <w:rsid w:val="00FE2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0A8D74"/>
  <w15:chartTrackingRefBased/>
  <w15:docId w15:val="{F95EF8B3-C96E-41FC-80EB-B5FF1A5787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E29D6"/>
    <w:rPr>
      <w:lang w:val="en-US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316</Words>
  <Characters>1807</Characters>
  <Application>Microsoft Office Word</Application>
  <DocSecurity>0</DocSecurity>
  <Lines>15</Lines>
  <Paragraphs>4</Paragraphs>
  <ScaleCrop>false</ScaleCrop>
  <Company/>
  <LinksUpToDate>false</LinksUpToDate>
  <CharactersWithSpaces>2119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HALE GÖKSEVER ÇELİK</dc:creator>
  <cp:keywords/>
  <dc:description/>
  <cp:lastModifiedBy>HALE GÖKSEVER ÇELİK</cp:lastModifiedBy>
  <cp:revision>1</cp:revision>
  <dcterms:created xsi:type="dcterms:W3CDTF">2021-10-07T09:43:00Z</dcterms:created>
  <dcterms:modified xsi:type="dcterms:W3CDTF">2021-10-07T09:43:00Z</dcterms:modified>
</cp:coreProperties>
</file>