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B3D42" w14:textId="77777777" w:rsidR="00722270" w:rsidRPr="00722270" w:rsidRDefault="00722270" w:rsidP="00722270">
      <w:pPr>
        <w:rPr>
          <w:b/>
          <w:bCs/>
        </w:rPr>
      </w:pPr>
      <w:r w:rsidRPr="00722270">
        <w:rPr>
          <w:b/>
          <w:bCs/>
        </w:rPr>
        <w:t>Abstract</w:t>
      </w:r>
    </w:p>
    <w:p w14:paraId="053A0A09" w14:textId="77777777" w:rsidR="00722270" w:rsidRDefault="00722270" w:rsidP="00722270">
      <w:r w:rsidRPr="00722270">
        <w:rPr>
          <w:b/>
          <w:bCs/>
        </w:rPr>
        <w:t>Introduction:</w:t>
      </w:r>
      <w:r>
        <w:t xml:space="preserve"> Preoperative assessment of deep endometriotic (DE) nodules is necessary to inform patients about the possible treatments and provide informed consent in case of surgery. This study aims to investigate the diagnostic performance of rectal water-contrast transvaginal ultrasonography (RWC-TVS) and </w:t>
      </w:r>
      <w:proofErr w:type="spellStart"/>
      <w:r>
        <w:t>sonovaginography</w:t>
      </w:r>
      <w:proofErr w:type="spellEnd"/>
      <w:r>
        <w:t xml:space="preserve"> (SVG) in women with suspicion of posterior DE.</w:t>
      </w:r>
    </w:p>
    <w:p w14:paraId="1E9FB4E4" w14:textId="77777777" w:rsidR="00722270" w:rsidRDefault="00722270" w:rsidP="00722270">
      <w:r w:rsidRPr="00722270">
        <w:rPr>
          <w:b/>
          <w:bCs/>
        </w:rPr>
        <w:t>Material and methods:</w:t>
      </w:r>
      <w:r>
        <w:t xml:space="preserve"> This prospective comparative study (NCT04296760) enrolled women with clinical suspicion of DE at our institution (Piazza </w:t>
      </w:r>
      <w:proofErr w:type="spellStart"/>
      <w:r>
        <w:t>della</w:t>
      </w:r>
      <w:proofErr w:type="spellEnd"/>
      <w:r>
        <w:t xml:space="preserve"> Vittoria 14 SRL, Genoa, Italy). Exclusion criteria were previous diagnosis of DE by imaging techniques or laparoscopy. All patients underwent RWC-TVS and SVG, independently performed by two gynecological sonologists blinded to the other technique's results. Patients underwent laparoscopic surgery within the following three months; imaging findings were compared with surgical and histological results.</w:t>
      </w:r>
    </w:p>
    <w:p w14:paraId="6FEB5C74" w14:textId="77777777" w:rsidR="00722270" w:rsidRDefault="00722270" w:rsidP="00722270">
      <w:r w:rsidRPr="00722270">
        <w:rPr>
          <w:b/>
          <w:bCs/>
        </w:rPr>
        <w:t>Results:</w:t>
      </w:r>
      <w:r>
        <w:t xml:space="preserve"> In 208 of 281 (74.0%) patients included, posterior DE was surgically confirmed in rectosigmoid (n = 88), vagina (n = 21), rectovaginal septum (n = 34) and uterosacral ligaments (n = 156). RWC-TVS and SVG demonstrated similar sensitivity (SE; 93.8% vs 89.4%; p = 0.210) and specificity (SP; 86.3% vs 79.4%; p = 0.481) in diagnosing posterior DE. Specifically, both examinations had similar accuracy in detecting nodules of uterosacral ligaments (p = 0.779), vagina (p = 0.688) and rectovaginal septum (p = 0.824). RWC-TVS had higher SE (95.2% vs 82.0%; p = 0.003) and similar SP (99.5% vs 98.5%; p = 0.500) in diagnosing rectosigmoid endometriosis and estimated better infiltration of intestinal submucosa (p = 0.039), and distance between these nodules and anal verge (p &lt; 0.001); only RWC-TVS allowed the estimation of bowel lumen stenosis. A similar proportion of discomfort was experienced during both examinations (p = 0.191), although a statistically higher mean visual analog score was reported during RWC-TVS (p &lt; 0.001).</w:t>
      </w:r>
    </w:p>
    <w:p w14:paraId="3346AEE0" w14:textId="77777777" w:rsidR="00722270" w:rsidRDefault="00722270" w:rsidP="00722270">
      <w:r w:rsidRPr="00722270">
        <w:rPr>
          <w:b/>
          <w:bCs/>
        </w:rPr>
        <w:t>Conclusions:</w:t>
      </w:r>
      <w:r>
        <w:t xml:space="preserve"> Although RWC-TVS and SVG have similar accuracy in the diagnosis of DE, RWC-TVS performed better in assessment of the characteristics of rectosigmoid endometriosis.</w:t>
      </w:r>
    </w:p>
    <w:p w14:paraId="4D0A1C1C" w14:textId="77777777" w:rsidR="00722270" w:rsidRDefault="00722270"/>
    <w:sectPr w:rsidR="00722270">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270"/>
    <w:rsid w:val="0072227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7C52B"/>
  <w15:chartTrackingRefBased/>
  <w15:docId w15:val="{9175A99F-7B17-47C8-A95E-63EC6F840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2270"/>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321</Words>
  <Characters>1831</Characters>
  <Application>Microsoft Office Word</Application>
  <DocSecurity>0</DocSecurity>
  <Lines>15</Lines>
  <Paragraphs>4</Paragraphs>
  <ScaleCrop>false</ScaleCrop>
  <Company/>
  <LinksUpToDate>false</LinksUpToDate>
  <CharactersWithSpaces>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2021-10-07T09:50:00Z</dcterms:created>
  <dcterms:modified xsi:type="dcterms:W3CDTF">2021-10-07T09:51:00Z</dcterms:modified>
</cp:coreProperties>
</file>