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32BB2" w14:textId="77777777" w:rsidR="00997010" w:rsidRPr="00997010" w:rsidRDefault="00997010" w:rsidP="00997010">
      <w:pPr>
        <w:rPr>
          <w:b/>
          <w:bCs/>
        </w:rPr>
      </w:pPr>
      <w:r w:rsidRPr="00997010">
        <w:rPr>
          <w:b/>
          <w:bCs/>
        </w:rPr>
        <w:t>Abstract</w:t>
      </w:r>
    </w:p>
    <w:p w14:paraId="0A304CEB" w14:textId="77777777" w:rsidR="00997010" w:rsidRDefault="00997010" w:rsidP="00997010">
      <w:r w:rsidRPr="00997010">
        <w:rPr>
          <w:b/>
          <w:bCs/>
        </w:rPr>
        <w:t>Purpose:</w:t>
      </w:r>
      <w:r>
        <w:t xml:space="preserve"> To evaluate obstetric outcome in women with endometriosis who conceive naturally and receive standard obstetric care in Italy.</w:t>
      </w:r>
    </w:p>
    <w:p w14:paraId="7A039395" w14:textId="77777777" w:rsidR="00997010" w:rsidRDefault="00997010" w:rsidP="00997010">
      <w:r w:rsidRPr="00997010">
        <w:rPr>
          <w:b/>
          <w:bCs/>
        </w:rPr>
        <w:t>Methods:</w:t>
      </w:r>
      <w:r>
        <w:t xml:space="preserve"> Cases were consecutive women with endometriosis managed in eleven Italian referral centers. Controls were women in whom endometriosis was excluded. All women filled in a questionnaire addressing previous natural pregnancies. Marginal logistic regression models were fitted to evaluate the impact of endometriosis on obstetric outcome. A post hoc analysis was performed within the endometriosis group comparing women with severe adenomyosis versus women with absent or mild adenomyosis.</w:t>
      </w:r>
    </w:p>
    <w:p w14:paraId="7641AE84" w14:textId="77777777" w:rsidR="00997010" w:rsidRDefault="00997010" w:rsidP="00997010">
      <w:r w:rsidRPr="00997010">
        <w:rPr>
          <w:b/>
          <w:bCs/>
        </w:rPr>
        <w:t>Results:</w:t>
      </w:r>
      <w:r>
        <w:t xml:space="preserve"> Three hundred and fifty-five pregnancies in endometriosis group and 741 pregnancies in control group were included. Women with endometriosis had a higher risk of preterm delivery &lt; 34 weeks (6.4% vs 2.8%, OR 2.42, 95% CI 1.22-4.82), preterm delivery &lt; 37 weeks (17.8% vs 9.7%, OR 1.98, 95% CI 1.23-3.19), and neonatal admission to Intensive Care Unit (14.1% vs 7.0%, OR 2.04, 95% CI 1.23-3.36). At post hoc analysis, women with endometriosis and severe adenomyosis had an increased risk of placenta previa (23.1% vs 1.8%, OR 16.68, 95% CI 3.49-79.71), cesarean delivery (84.6% vs 38.9%, OR 8.03, 95% CI 1.69-38.25) and preterm delivery &lt; 34 weeks (23.1% vs 5.7%, OR 5.52, 95% CI 1.38-22.09).</w:t>
      </w:r>
    </w:p>
    <w:p w14:paraId="50D0F3AA" w14:textId="77777777" w:rsidR="00997010" w:rsidRDefault="00997010" w:rsidP="00997010">
      <w:r w:rsidRPr="00997010">
        <w:rPr>
          <w:b/>
          <w:bCs/>
        </w:rPr>
        <w:t>Conclusion:</w:t>
      </w:r>
      <w:r>
        <w:t xml:space="preserve"> Women with endometriosis who conceive naturally have increased risk of preterm delivery and neonatal admission to intensive care unit. When severe adenomyosis is coexistent with endometriosis, women may be at increased risk of placenta previa and cesarean delivery.</w:t>
      </w:r>
    </w:p>
    <w:p w14:paraId="743C261A" w14:textId="77777777" w:rsidR="00997010" w:rsidRDefault="00997010"/>
    <w:sectPr w:rsidR="0099701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010"/>
    <w:rsid w:val="009970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BDF54"/>
  <w15:chartTrackingRefBased/>
  <w15:docId w15:val="{97ACC033-7C76-42AD-B9FF-31A0DB8BA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01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2021-11-16T10:21:00Z</dcterms:created>
  <dcterms:modified xsi:type="dcterms:W3CDTF">2021-11-16T10:22:00Z</dcterms:modified>
</cp:coreProperties>
</file>