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0DD13" w14:textId="77777777" w:rsidR="003A0C2A" w:rsidRPr="003A0C2A" w:rsidRDefault="003A0C2A" w:rsidP="003A0C2A">
      <w:pPr>
        <w:rPr>
          <w:b/>
          <w:bCs/>
        </w:rPr>
      </w:pPr>
      <w:r w:rsidRPr="003A0C2A">
        <w:rPr>
          <w:b/>
          <w:bCs/>
        </w:rPr>
        <w:t>Abstract</w:t>
      </w:r>
    </w:p>
    <w:p w14:paraId="198DFC0B" w14:textId="77777777" w:rsidR="003A0C2A" w:rsidRDefault="003A0C2A" w:rsidP="003A0C2A">
      <w:r w:rsidRPr="003A0C2A">
        <w:rPr>
          <w:b/>
          <w:bCs/>
        </w:rPr>
        <w:t>Research question:</w:t>
      </w:r>
      <w:r>
        <w:t xml:space="preserve"> What are the potential biomarkers for peritoneal endometriosis in peritoneal fluid and serum?</w:t>
      </w:r>
    </w:p>
    <w:p w14:paraId="770AF92D" w14:textId="77777777" w:rsidR="003A0C2A" w:rsidRDefault="003A0C2A" w:rsidP="003A0C2A">
      <w:r w:rsidRPr="003A0C2A">
        <w:rPr>
          <w:b/>
          <w:bCs/>
        </w:rPr>
        <w:t>Design:</w:t>
      </w:r>
      <w:r>
        <w:t xml:space="preserve"> Case-control studies composed of independent discovery and validation sets were conducted. In the discovery set, untargeted liquid chromatography-mass spectrometry (LC-MS/MS) metabolomics, multivariable and univariable analyses were conducted to generate global metabolomic profiles of peritoneal fluid for endometriosis and to identify potential metabolites that could distinguish peritoneal endometriosis (n = 10) from controls (n = 31). The identified metabolites from the discovery set were validated in independent peritoneal fluid (n =19 peritoneal endometriosis and n = 20 controls) and serum samples (n = 16 peritoneal endometriosis and n = 19 controls) using targeted metabolomics. The area under the receiver-operating characteristics curve (AUC) analysis was used to evaluate the diagnostic performance of peritoneal endometriosis metabolites.</w:t>
      </w:r>
    </w:p>
    <w:p w14:paraId="7B06229D" w14:textId="77777777" w:rsidR="003A0C2A" w:rsidRDefault="003A0C2A" w:rsidP="003A0C2A">
      <w:r w:rsidRPr="003A0C2A">
        <w:rPr>
          <w:b/>
          <w:bCs/>
        </w:rPr>
        <w:t>Results:</w:t>
      </w:r>
      <w:r>
        <w:t xml:space="preserve"> In the discovery set, peritoneal fluid phosphatidylcholine (34:3) and phenylalanyl-isoleucine were significantly increased in peritoneal endometriosis groups compared with control groups, with AUC 0.77 (95% CI 0.61 to 0.92; P = 0.018) and AUC 0.98 (95% CI 0.95 to 1.02; P &lt; 0.001), respectively. In the validation set, phenylalanyl-isoleucine retained discriminatory performance to distinguish peritoneal endometriosis from controls in both peritoneal fluid (AUC 0.77, 95% CI 0.61 to 0.92; P = 0.006) and serum samples (AUC 0.81, 95% CI 0.64 to 0.99; P = 0.004), with notably stronger discrimination between peritoneal endometriosis and controls in proliferative phase.</w:t>
      </w:r>
    </w:p>
    <w:p w14:paraId="53D807C5" w14:textId="356AD733" w:rsidR="003A0C2A" w:rsidRDefault="003A0C2A" w:rsidP="003A0C2A">
      <w:r w:rsidRPr="003A0C2A">
        <w:rPr>
          <w:b/>
          <w:bCs/>
        </w:rPr>
        <w:t>Conclusion:</w:t>
      </w:r>
      <w:r>
        <w:t xml:space="preserve"> Our preliminary results propose phenylalanyl-isoleucine as a potential biomarker of peritoneal endometriosis, which may be used as a minimally invasive diagnostic biomarker of peritoneal endometriosis.</w:t>
      </w:r>
    </w:p>
    <w:sectPr w:rsidR="003A0C2A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C2A"/>
    <w:rsid w:val="003A0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06EB10"/>
  <w15:chartTrackingRefBased/>
  <w15:docId w15:val="{2735A67D-CB85-48CE-B3A8-90FDC7B44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0C2A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280</Words>
  <Characters>1598</Characters>
  <Application>Microsoft Office Word</Application>
  <DocSecurity>0</DocSecurity>
  <Lines>13</Lines>
  <Paragraphs>3</Paragraphs>
  <ScaleCrop>false</ScaleCrop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2021-11-18T12:23:00Z</dcterms:created>
  <dcterms:modified xsi:type="dcterms:W3CDTF">2021-11-18T12:24:00Z</dcterms:modified>
</cp:coreProperties>
</file>