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F485E" w14:textId="77777777" w:rsidR="00D52D76" w:rsidRPr="009B692F" w:rsidRDefault="00D52D76" w:rsidP="00D52D76">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[Clinical features and long-term outcomes after laparoscopic surgery in patients co-existing with ovarian endometrioma and deep infiltrating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w:t>
        </w:r>
      </w:hyperlink>
    </w:p>
    <w:p w14:paraId="41B817EA" w14:textId="77777777" w:rsidR="00D52D76" w:rsidRPr="00A71D3B" w:rsidRDefault="00D52D76" w:rsidP="00D52D76">
      <w:pPr>
        <w:shd w:val="clear" w:color="auto" w:fill="FFFFFF"/>
        <w:rPr>
          <w:rFonts w:ascii="Segoe UI" w:eastAsia="Times New Roman" w:hAnsi="Segoe UI" w:cs="Segoe UI"/>
          <w:color w:val="4D8055"/>
        </w:rPr>
      </w:pPr>
      <w:r w:rsidRPr="00A71D3B">
        <w:rPr>
          <w:rFonts w:ascii="Segoe UI" w:eastAsia="Times New Roman" w:hAnsi="Segoe UI" w:cs="Segoe UI"/>
          <w:color w:val="212121"/>
        </w:rPr>
        <w:t>Wu YS, Li XY, Dai Y, Zhang JJ, Shi JH, Leng JH.</w:t>
      </w:r>
      <w:r w:rsidRPr="00A71D3B">
        <w:rPr>
          <w:rFonts w:ascii="Segoe UI" w:eastAsia="Times New Roman" w:hAnsi="Segoe UI" w:cs="Segoe UI"/>
          <w:color w:val="4D8055"/>
        </w:rPr>
        <w:t>Zhonghua Fu Chan Ke Za Zhi. 2021 Dec 25;56(12):842-848. doi: 10.3760/cma.j.cn112141-20211009-00576.PMID: 34954962 Chinese.</w:t>
      </w:r>
    </w:p>
    <w:p w14:paraId="4E7A36B6" w14:textId="77777777" w:rsidR="00D52D76" w:rsidRDefault="00D52D76" w:rsidP="00D52D76">
      <w:pPr>
        <w:shd w:val="clear" w:color="auto" w:fill="FFFFFF"/>
        <w:rPr>
          <w:rFonts w:ascii="Segoe UI" w:eastAsia="Times New Roman" w:hAnsi="Segoe UI" w:cs="Segoe UI"/>
          <w:color w:val="212121"/>
        </w:rPr>
      </w:pPr>
    </w:p>
    <w:p w14:paraId="4191C1A1" w14:textId="77777777" w:rsidR="00D52D76" w:rsidRDefault="00D52D76" w:rsidP="00D52D76">
      <w:pPr>
        <w:pStyle w:val="Heading2"/>
        <w:shd w:val="clear" w:color="auto" w:fill="FFFFFF"/>
        <w:rPr>
          <w:rFonts w:ascii="Merriweather" w:hAnsi="Merriweather"/>
          <w:color w:val="212121"/>
        </w:rPr>
      </w:pPr>
      <w:r>
        <w:rPr>
          <w:rFonts w:ascii="Merriweather" w:hAnsi="Merriweather"/>
          <w:color w:val="212121"/>
        </w:rPr>
        <w:t>Abstract </w:t>
      </w:r>
    </w:p>
    <w:p w14:paraId="0FBE0B58" w14:textId="77777777" w:rsidR="00D52D76" w:rsidRDefault="00D52D76" w:rsidP="00D52D76">
      <w:pPr>
        <w:pStyle w:val="Heading2"/>
        <w:shd w:val="clear" w:color="auto" w:fill="FFFFFF"/>
        <w:rPr>
          <w:rFonts w:ascii="Segoe UI" w:hAnsi="Segoe UI" w:cs="Segoe UI"/>
          <w:b w:val="0"/>
          <w:bCs w:val="0"/>
          <w:color w:val="212121"/>
        </w:rPr>
      </w:pPr>
      <w:r>
        <w:rPr>
          <w:rFonts w:ascii="Segoe UI" w:hAnsi="Segoe UI" w:cs="Segoe UI"/>
          <w:b w:val="0"/>
          <w:bCs w:val="0"/>
          <w:color w:val="212121"/>
        </w:rPr>
        <w:t>in </w:t>
      </w:r>
      <w:hyperlink r:id="rId6" w:anchor="enc-abstract" w:history="1">
        <w:r>
          <w:rPr>
            <w:rStyle w:val="Hyperlink"/>
            <w:rFonts w:ascii="Segoe UI" w:hAnsi="Segoe UI" w:cs="Segoe UI"/>
            <w:b w:val="0"/>
            <w:bCs w:val="0"/>
            <w:color w:val="212121"/>
            <w:u w:val="none"/>
          </w:rPr>
          <w:t>English, </w:t>
        </w:r>
      </w:hyperlink>
      <w:hyperlink r:id="rId7" w:anchor="zho-abstract" w:history="1">
        <w:r>
          <w:rPr>
            <w:rStyle w:val="Hyperlink"/>
            <w:rFonts w:ascii="Segoe UI" w:hAnsi="Segoe UI" w:cs="Segoe UI"/>
            <w:b w:val="0"/>
            <w:bCs w:val="0"/>
            <w:color w:val="0071BC"/>
            <w:u w:val="none"/>
          </w:rPr>
          <w:t>Chinese</w:t>
        </w:r>
      </w:hyperlink>
    </w:p>
    <w:p w14:paraId="08C5D7E2" w14:textId="77777777" w:rsidR="00D52D76" w:rsidRDefault="00D52D76" w:rsidP="00D52D76">
      <w:pPr>
        <w:pStyle w:val="NormalWeb"/>
        <w:shd w:val="clear" w:color="auto" w:fill="FFFFFF"/>
        <w:rPr>
          <w:rFonts w:ascii="Segoe UI" w:hAnsi="Segoe UI" w:cs="Segoe UI"/>
          <w:color w:val="212121"/>
        </w:rPr>
      </w:pPr>
      <w:r>
        <w:rPr>
          <w:rFonts w:ascii="Segoe UI" w:hAnsi="Segoe UI" w:cs="Segoe UI"/>
          <w:b/>
          <w:bCs/>
          <w:color w:val="212121"/>
        </w:rPr>
        <w:t>Objective:</w:t>
      </w:r>
      <w:r>
        <w:rPr>
          <w:rFonts w:ascii="Segoe UI" w:hAnsi="Segoe UI" w:cs="Segoe UI"/>
          <w:color w:val="212121"/>
        </w:rPr>
        <w:t> To investigate the clinical features and long-term prognosis of patients co-existing with ovarian endometrioma (OMA) and deep infiltrating endometriosis (DIE). </w:t>
      </w:r>
      <w:r>
        <w:rPr>
          <w:rFonts w:ascii="Segoe UI" w:hAnsi="Segoe UI" w:cs="Segoe UI"/>
          <w:b/>
          <w:bCs/>
          <w:color w:val="212121"/>
        </w:rPr>
        <w:t>Methods:</w:t>
      </w:r>
      <w:r>
        <w:rPr>
          <w:rFonts w:ascii="Segoe UI" w:hAnsi="Segoe UI" w:cs="Segoe UI"/>
          <w:color w:val="212121"/>
        </w:rPr>
        <w:t> Totally 358 OMA patients were retrospectively analyzed, who had a minimum of 8 years follow-up after laparoscopic cystectomy, which was performed by one professional endometriosis surgery team at Peking Union Medical College Hospital from January 2009 to April 2013. All women were divided into DIE group and non-DIE group, and analysis was performed in preoperative characteristics, surgical findings and postoperative outcomes during follow-up. </w:t>
      </w:r>
      <w:r>
        <w:rPr>
          <w:rFonts w:ascii="Segoe UI" w:hAnsi="Segoe UI" w:cs="Segoe UI"/>
          <w:b/>
          <w:bCs/>
          <w:color w:val="212121"/>
        </w:rPr>
        <w:t>Results:</w:t>
      </w:r>
      <w:r>
        <w:rPr>
          <w:rFonts w:ascii="Segoe UI" w:hAnsi="Segoe UI" w:cs="Segoe UI"/>
          <w:color w:val="212121"/>
        </w:rPr>
        <w:t> A total of 358 OMA patients were included, of which 190 patients (53.1%, 190/358) were in the DIE group, while other 168 patients (46.9%, 168/358) in the non-DIE group. The average ages between the two groups were (33.7±5.4), (32.5±5.3) years (</w:t>
      </w:r>
      <w:r>
        <w:rPr>
          <w:rFonts w:ascii="Segoe UI" w:hAnsi="Segoe UI" w:cs="Segoe UI"/>
          <w:i/>
          <w:iCs/>
          <w:color w:val="212121"/>
        </w:rPr>
        <w:t>P</w:t>
      </w:r>
      <w:r>
        <w:rPr>
          <w:rFonts w:ascii="Segoe UI" w:hAnsi="Segoe UI" w:cs="Segoe UI"/>
          <w:color w:val="212121"/>
        </w:rPr>
        <w:t>=0.047), the average parity was (0.4±0.6) times vs (0.3±0.5) times (</w:t>
      </w:r>
      <w:r>
        <w:rPr>
          <w:rFonts w:ascii="Segoe UI" w:hAnsi="Segoe UI" w:cs="Segoe UI"/>
          <w:i/>
          <w:iCs/>
          <w:color w:val="212121"/>
        </w:rPr>
        <w:t>P</w:t>
      </w:r>
      <w:r>
        <w:rPr>
          <w:rFonts w:ascii="Segoe UI" w:hAnsi="Segoe UI" w:cs="Segoe UI"/>
          <w:color w:val="212121"/>
        </w:rPr>
        <w:t>=0.079). There were significant differences in the proportions of moderate to severe dysmenorrhea [67.4% (128/190) vs 56.5% (95/168)], chronic pelvic pain [24.2% (46/190) vs 7.7% (13/168)], and the increase in CA</w:t>
      </w:r>
      <w:r>
        <w:rPr>
          <w:rFonts w:ascii="Segoe UI" w:hAnsi="Segoe UI" w:cs="Segoe UI"/>
          <w:color w:val="212121"/>
          <w:sz w:val="18"/>
          <w:szCs w:val="18"/>
          <w:vertAlign w:val="subscript"/>
        </w:rPr>
        <w:t>125</w:t>
      </w:r>
      <w:r>
        <w:rPr>
          <w:rFonts w:ascii="Segoe UI" w:hAnsi="Segoe UI" w:cs="Segoe UI"/>
          <w:color w:val="212121"/>
        </w:rPr>
        <w:t> [79.9% (139/190) vs 65.2% (101/168)] between the two groups (all </w:t>
      </w:r>
      <w:r>
        <w:rPr>
          <w:rFonts w:ascii="Segoe UI" w:hAnsi="Segoe UI" w:cs="Segoe UI"/>
          <w:i/>
          <w:iCs/>
          <w:color w:val="212121"/>
        </w:rPr>
        <w:t>P</w:t>
      </w:r>
      <w:r>
        <w:rPr>
          <w:rFonts w:ascii="Segoe UI" w:hAnsi="Segoe UI" w:cs="Segoe UI"/>
          <w:color w:val="212121"/>
        </w:rPr>
        <w:t>&lt;0.05). The average operation time in the DIE and non-DIE groups was (75±21) vs (39±36) minutes (</w:t>
      </w:r>
      <w:r>
        <w:rPr>
          <w:rFonts w:ascii="Segoe UI" w:hAnsi="Segoe UI" w:cs="Segoe UI"/>
          <w:i/>
          <w:iCs/>
          <w:color w:val="212121"/>
        </w:rPr>
        <w:t>P</w:t>
      </w:r>
      <w:r>
        <w:rPr>
          <w:rFonts w:ascii="Segoe UI" w:hAnsi="Segoe UI" w:cs="Segoe UI"/>
          <w:color w:val="212121"/>
        </w:rPr>
        <w:t>&lt;0.01). There was a significant difference in adenomyosis presence between the two groups [41.6% (79/190) vs 22.0% (37/168); </w:t>
      </w:r>
      <w:r>
        <w:rPr>
          <w:rFonts w:ascii="Segoe UI" w:hAnsi="Segoe UI" w:cs="Segoe UI"/>
          <w:i/>
          <w:iCs/>
          <w:color w:val="212121"/>
        </w:rPr>
        <w:t>P</w:t>
      </w:r>
      <w:r>
        <w:rPr>
          <w:rFonts w:ascii="Segoe UI" w:hAnsi="Segoe UI" w:cs="Segoe UI"/>
          <w:color w:val="212121"/>
        </w:rPr>
        <w:t>=0.001]. All patients were followed up for at least 8 years. At the end of the follow-up, though the DIE group was with higher total rate of disease relapse, yet no significant difference was found between the two groups in statistical comparison [21.6% (41/190) vs 16.1% (27/168); </w:t>
      </w:r>
      <w:r>
        <w:rPr>
          <w:rFonts w:ascii="Segoe UI" w:hAnsi="Segoe UI" w:cs="Segoe UI"/>
          <w:i/>
          <w:iCs/>
          <w:color w:val="212121"/>
        </w:rPr>
        <w:t>P</w:t>
      </w:r>
      <w:r>
        <w:rPr>
          <w:rFonts w:ascii="Segoe UI" w:hAnsi="Segoe UI" w:cs="Segoe UI"/>
          <w:color w:val="212121"/>
        </w:rPr>
        <w:t>=0.185]. A total of 41 cases in the DIE group recurred, the recurrence rate of pain was 15.8% (30/190), and the recurrence rate of cyst was 8.4% (16/190); 27 cases had recurrence after operation in the non-DIE group, the recurrence rate of pain was 8.9% (15/168), and the recurrence rate of cyst was 10.7% (18/168). There were no significant differences in the pain recurrence rate (</w:t>
      </w:r>
      <w:r>
        <w:rPr>
          <w:rFonts w:ascii="Segoe UI" w:hAnsi="Segoe UI" w:cs="Segoe UI"/>
          <w:i/>
          <w:iCs/>
          <w:color w:val="212121"/>
        </w:rPr>
        <w:t>P</w:t>
      </w:r>
      <w:r>
        <w:rPr>
          <w:rFonts w:ascii="Segoe UI" w:hAnsi="Segoe UI" w:cs="Segoe UI"/>
          <w:color w:val="212121"/>
        </w:rPr>
        <w:t>=0.067) and cyst recurrence rate (</w:t>
      </w:r>
      <w:r>
        <w:rPr>
          <w:rFonts w:ascii="Segoe UI" w:hAnsi="Segoe UI" w:cs="Segoe UI"/>
          <w:i/>
          <w:iCs/>
          <w:color w:val="212121"/>
        </w:rPr>
        <w:t>P</w:t>
      </w:r>
      <w:r>
        <w:rPr>
          <w:rFonts w:ascii="Segoe UI" w:hAnsi="Segoe UI" w:cs="Segoe UI"/>
          <w:color w:val="212121"/>
        </w:rPr>
        <w:t>=0.460) between the two groups. As for the successfully pregnant patients, live birth rates were 100.0% (65/65) vs 94.4% (68/72) between DIE group and non-DIE groups (</w:t>
      </w:r>
      <w:r>
        <w:rPr>
          <w:rFonts w:ascii="Segoe UI" w:hAnsi="Segoe UI" w:cs="Segoe UI"/>
          <w:i/>
          <w:iCs/>
          <w:color w:val="212121"/>
        </w:rPr>
        <w:t>P</w:t>
      </w:r>
      <w:r>
        <w:rPr>
          <w:rFonts w:ascii="Segoe UI" w:hAnsi="Segoe UI" w:cs="Segoe UI"/>
          <w:color w:val="212121"/>
        </w:rPr>
        <w:t>=0.120). </w:t>
      </w:r>
      <w:r>
        <w:rPr>
          <w:rFonts w:ascii="Segoe UI" w:hAnsi="Segoe UI" w:cs="Segoe UI"/>
          <w:b/>
          <w:bCs/>
          <w:color w:val="212121"/>
        </w:rPr>
        <w:t>Conclusions:</w:t>
      </w:r>
      <w:r>
        <w:rPr>
          <w:rFonts w:ascii="Segoe UI" w:hAnsi="Segoe UI" w:cs="Segoe UI"/>
          <w:color w:val="212121"/>
        </w:rPr>
        <w:t xml:space="preserve"> Compared with the non-DIE group, OMA patients with concurrent DIE might have severe pain symptoms, higher probability of </w:t>
      </w:r>
      <w:r>
        <w:rPr>
          <w:rFonts w:ascii="Segoe UI" w:hAnsi="Segoe UI" w:cs="Segoe UI"/>
          <w:color w:val="212121"/>
        </w:rPr>
        <w:lastRenderedPageBreak/>
        <w:t>abnormal CA</w:t>
      </w:r>
      <w:r>
        <w:rPr>
          <w:rFonts w:ascii="Segoe UI" w:hAnsi="Segoe UI" w:cs="Segoe UI"/>
          <w:color w:val="212121"/>
          <w:sz w:val="18"/>
          <w:szCs w:val="18"/>
          <w:vertAlign w:val="subscript"/>
        </w:rPr>
        <w:t>125</w:t>
      </w:r>
      <w:r>
        <w:rPr>
          <w:rFonts w:ascii="Segoe UI" w:hAnsi="Segoe UI" w:cs="Segoe UI"/>
          <w:color w:val="212121"/>
        </w:rPr>
        <w:t> levels and more severe pelvic adhesions. Although there are no significant differences in the total recurrence rate and the recurrence rate of various types between the two groups, the proportion of pain recurrence in the DIE group is higher than that in the non-DIE group. In terms of fertility outcomes, patients in the DIE group are with lower likelihood of pregnancy after surgery during the long-time follow-up. DIE has no significant influence on the fertility outcome.</w:t>
      </w:r>
    </w:p>
    <w:p w14:paraId="28F7B353"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D76"/>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52D76"/>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03AAB78"/>
  <w15:chartTrackingRefBased/>
  <w15:docId w15:val="{1EE1ADA8-53A1-C346-A2D5-453C7A211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D76"/>
  </w:style>
  <w:style w:type="paragraph" w:styleId="Heading2">
    <w:name w:val="heading 2"/>
    <w:basedOn w:val="Normal"/>
    <w:link w:val="Heading2Char"/>
    <w:uiPriority w:val="9"/>
    <w:qFormat/>
    <w:rsid w:val="00D52D7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2D76"/>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D52D76"/>
    <w:rPr>
      <w:color w:val="0000FF"/>
      <w:u w:val="single"/>
    </w:rPr>
  </w:style>
  <w:style w:type="paragraph" w:styleId="NormalWeb">
    <w:name w:val="Normal (Web)"/>
    <w:basedOn w:val="Normal"/>
    <w:uiPriority w:val="99"/>
    <w:unhideWhenUsed/>
    <w:rsid w:val="00D52D76"/>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D52D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495496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34954962/" TargetMode="External"/><Relationship Id="rId5" Type="http://schemas.openxmlformats.org/officeDocument/2006/relationships/hyperlink" Target="https://pubmed.ncbi.nlm.nih.gov/3495496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2022-01-24T08:41:00Z</dcterms:created>
  <dcterms:modified xsi:type="dcterms:W3CDTF">2022-01-24T08:41:00Z</dcterms:modified>
</cp:coreProperties>
</file>