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1D8BC5" w14:textId="77777777" w:rsidR="008F4955" w:rsidRPr="00A71D3B" w:rsidRDefault="008F4955" w:rsidP="008F4955">
      <w:pPr>
        <w:shd w:val="clear" w:color="auto" w:fill="FFFFFF"/>
        <w:rPr>
          <w:rFonts w:ascii="Segoe UI" w:eastAsia="Times New Roman" w:hAnsi="Segoe UI" w:cs="Segoe UI"/>
          <w:color w:val="212121"/>
        </w:rPr>
      </w:pPr>
      <w:r w:rsidRPr="00A71D3B">
        <w:rPr>
          <w:rFonts w:ascii="Segoe UI" w:eastAsia="Times New Roman" w:hAnsi="Segoe UI" w:cs="Segoe UI"/>
          <w:color w:val="212121"/>
        </w:rPr>
        <w:t> </w:t>
      </w:r>
    </w:p>
    <w:p w14:paraId="2387EA79" w14:textId="77777777" w:rsidR="008F4955" w:rsidRPr="00A71D3B" w:rsidRDefault="008F4955" w:rsidP="008F4955">
      <w:pPr>
        <w:shd w:val="clear" w:color="auto" w:fill="FFFFFF"/>
        <w:rPr>
          <w:rFonts w:ascii="Segoe UI" w:eastAsia="Times New Roman" w:hAnsi="Segoe UI" w:cs="Segoe UI"/>
          <w:color w:val="212121"/>
        </w:rPr>
      </w:pPr>
    </w:p>
    <w:p w14:paraId="303AD8A2" w14:textId="77777777" w:rsidR="008F4955" w:rsidRDefault="008F4955" w:rsidP="008F4955">
      <w:pPr>
        <w:shd w:val="clear" w:color="auto" w:fill="FFFFFF"/>
        <w:rPr>
          <w:rFonts w:ascii="Segoe UI" w:hAnsi="Segoe UI" w:cs="Segoe UI"/>
          <w:color w:val="212121"/>
        </w:rPr>
      </w:pPr>
      <w:r w:rsidRPr="00A71D3B">
        <w:rPr>
          <w:rFonts w:ascii="Segoe UI" w:eastAsia="Times New Roman" w:hAnsi="Segoe UI" w:cs="Segoe UI"/>
          <w:color w:val="212121"/>
        </w:rPr>
        <w:t> </w:t>
      </w:r>
    </w:p>
    <w:p w14:paraId="5C958CED" w14:textId="77777777" w:rsidR="008F4955" w:rsidRPr="00A71D3B" w:rsidRDefault="008F4955" w:rsidP="008F4955">
      <w:pPr>
        <w:shd w:val="clear" w:color="auto" w:fill="FFFFFF"/>
        <w:rPr>
          <w:rFonts w:ascii="Segoe UI" w:eastAsia="Times New Roman" w:hAnsi="Segoe UI" w:cs="Segoe UI"/>
          <w:color w:val="212121"/>
          <w:lang w:val="tr-TR"/>
        </w:rPr>
      </w:pPr>
      <w:r w:rsidRPr="00A71D3B">
        <w:rPr>
          <w:rFonts w:ascii="Segoe UI" w:eastAsia="Times New Roman" w:hAnsi="Segoe UI" w:cs="Segoe UI"/>
          <w:color w:val="212121"/>
        </w:rPr>
        <w:t> </w:t>
      </w:r>
    </w:p>
    <w:p w14:paraId="704C4446" w14:textId="77777777" w:rsidR="008F4955" w:rsidRPr="00AD4DA6" w:rsidRDefault="008F4955" w:rsidP="008F4955">
      <w:pPr>
        <w:pStyle w:val="ListParagraph"/>
        <w:numPr>
          <w:ilvl w:val="0"/>
          <w:numId w:val="1"/>
        </w:numPr>
        <w:shd w:val="clear" w:color="auto" w:fill="FFFFFF"/>
        <w:rPr>
          <w:rFonts w:ascii="Segoe UI" w:eastAsia="Times New Roman" w:hAnsi="Segoe UI" w:cs="Segoe UI"/>
          <w:color w:val="212121"/>
        </w:rPr>
      </w:pPr>
      <w:hyperlink r:id="rId5" w:history="1">
        <w:r w:rsidRPr="00AD4DA6">
          <w:rPr>
            <w:rFonts w:ascii="Segoe UI" w:eastAsia="Times New Roman" w:hAnsi="Segoe UI" w:cs="Segoe UI"/>
            <w:color w:val="0071BC"/>
          </w:rPr>
          <w:t>[Guideline for the diagnosis and treatment of </w:t>
        </w:r>
        <w:r w:rsidRPr="00AD4DA6">
          <w:rPr>
            <w:rFonts w:ascii="Segoe UI" w:eastAsia="Times New Roman" w:hAnsi="Segoe UI" w:cs="Segoe UI"/>
            <w:b/>
            <w:bCs/>
            <w:color w:val="0071BC"/>
          </w:rPr>
          <w:t>endometriosis</w:t>
        </w:r>
        <w:r w:rsidRPr="00AD4DA6">
          <w:rPr>
            <w:rFonts w:ascii="Segoe UI" w:eastAsia="Times New Roman" w:hAnsi="Segoe UI" w:cs="Segoe UI"/>
            <w:color w:val="0071BC"/>
          </w:rPr>
          <w:t> (Third edition)].</w:t>
        </w:r>
      </w:hyperlink>
    </w:p>
    <w:p w14:paraId="38E42C03" w14:textId="77777777" w:rsidR="008F4955" w:rsidRPr="00A71D3B" w:rsidRDefault="008F4955" w:rsidP="008F4955">
      <w:pPr>
        <w:shd w:val="clear" w:color="auto" w:fill="FFFFFF"/>
        <w:rPr>
          <w:rFonts w:ascii="Segoe UI" w:eastAsia="Times New Roman" w:hAnsi="Segoe UI" w:cs="Segoe UI"/>
          <w:color w:val="4D8055"/>
        </w:rPr>
      </w:pPr>
      <w:r w:rsidRPr="00A71D3B">
        <w:rPr>
          <w:rFonts w:ascii="Segoe UI" w:eastAsia="Times New Roman" w:hAnsi="Segoe UI" w:cs="Segoe UI"/>
          <w:color w:val="212121"/>
        </w:rPr>
        <w:t>Chinese Obstetricians and Gynecologists Association; Cooperative Group of Endometriosis, Chinese Society of Obstetrics and Gynecology, Chinese Medical Association.</w:t>
      </w:r>
      <w:r w:rsidRPr="00A71D3B">
        <w:rPr>
          <w:rFonts w:ascii="Segoe UI" w:eastAsia="Times New Roman" w:hAnsi="Segoe UI" w:cs="Segoe UI"/>
          <w:color w:val="4D8055"/>
        </w:rPr>
        <w:t>Zhonghua Fu Chan Ke Za Zhi. 2021 Dec 25;56(12):812-824. doi: 10.3760/cma.j.cn112141-20211018-00603.PMID: 34954958 Chinese.</w:t>
      </w:r>
    </w:p>
    <w:p w14:paraId="24794F3A" w14:textId="77777777" w:rsidR="008F4955" w:rsidRDefault="008F4955" w:rsidP="008F4955">
      <w:pPr>
        <w:shd w:val="clear" w:color="auto" w:fill="FFFFFF"/>
        <w:rPr>
          <w:rFonts w:ascii="Segoe UI" w:eastAsia="Times New Roman" w:hAnsi="Segoe UI" w:cs="Segoe UI"/>
          <w:color w:val="212121"/>
        </w:rPr>
      </w:pPr>
    </w:p>
    <w:p w14:paraId="5CE11945" w14:textId="77777777" w:rsidR="008F4955" w:rsidRDefault="008F4955" w:rsidP="008F4955">
      <w:pPr>
        <w:pStyle w:val="Heading2"/>
        <w:shd w:val="clear" w:color="auto" w:fill="FFFFFF"/>
        <w:rPr>
          <w:rFonts w:ascii="Merriweather" w:hAnsi="Merriweather"/>
          <w:color w:val="212121"/>
        </w:rPr>
      </w:pPr>
      <w:r>
        <w:rPr>
          <w:rFonts w:ascii="Merriweather" w:hAnsi="Merriweather"/>
          <w:color w:val="212121"/>
        </w:rPr>
        <w:t>Abstract </w:t>
      </w:r>
    </w:p>
    <w:p w14:paraId="4293448F" w14:textId="77777777" w:rsidR="008F4955" w:rsidRDefault="008F4955" w:rsidP="008F4955">
      <w:pPr>
        <w:pStyle w:val="Heading2"/>
        <w:shd w:val="clear" w:color="auto" w:fill="FFFFFF"/>
        <w:rPr>
          <w:rFonts w:ascii="Segoe UI" w:hAnsi="Segoe UI" w:cs="Segoe UI"/>
          <w:b w:val="0"/>
          <w:bCs w:val="0"/>
          <w:color w:val="212121"/>
        </w:rPr>
      </w:pPr>
      <w:r>
        <w:rPr>
          <w:rFonts w:ascii="Segoe UI" w:hAnsi="Segoe UI" w:cs="Segoe UI"/>
          <w:b w:val="0"/>
          <w:bCs w:val="0"/>
          <w:color w:val="212121"/>
        </w:rPr>
        <w:t>in </w:t>
      </w:r>
      <w:hyperlink r:id="rId6" w:anchor="enc-abstract" w:history="1">
        <w:r>
          <w:rPr>
            <w:rStyle w:val="Hyperlink"/>
            <w:rFonts w:ascii="Segoe UI" w:hAnsi="Segoe UI" w:cs="Segoe UI"/>
            <w:b w:val="0"/>
            <w:bCs w:val="0"/>
            <w:color w:val="212121"/>
            <w:u w:val="none"/>
          </w:rPr>
          <w:t>English, </w:t>
        </w:r>
      </w:hyperlink>
      <w:hyperlink r:id="rId7" w:anchor="zho-abstract" w:history="1">
        <w:r>
          <w:rPr>
            <w:rStyle w:val="Hyperlink"/>
            <w:rFonts w:ascii="Segoe UI" w:hAnsi="Segoe UI" w:cs="Segoe UI"/>
            <w:b w:val="0"/>
            <w:bCs w:val="0"/>
            <w:color w:val="0071BC"/>
            <w:u w:val="none"/>
          </w:rPr>
          <w:t>Chinese</w:t>
        </w:r>
      </w:hyperlink>
    </w:p>
    <w:p w14:paraId="26B9E948" w14:textId="77777777" w:rsidR="008F4955" w:rsidRDefault="008F4955" w:rsidP="008F4955">
      <w:pPr>
        <w:pStyle w:val="NormalWeb"/>
        <w:shd w:val="clear" w:color="auto" w:fill="FFFFFF"/>
        <w:rPr>
          <w:rFonts w:ascii="Segoe UI" w:hAnsi="Segoe UI" w:cs="Segoe UI"/>
          <w:color w:val="212121"/>
        </w:rPr>
      </w:pPr>
      <w:r>
        <w:rPr>
          <w:rFonts w:ascii="Segoe UI" w:hAnsi="Segoe UI" w:cs="Segoe UI"/>
          <w:color w:val="212121"/>
        </w:rPr>
        <w:t>This is the third edition of guideline for the diagnosis and treatment of endometriosis in China. The second edition was published six years ago in 2015. It has been an important reference for the best clinical care of endometriosis and is now in need of updating. Using modern methodology including thorough systematic search of the literature, quality assessment of the identified papers up to January 2021. Experts in the field have worked together and reached a consensus on recommendations. It is apparent that robust evidence was lacking to support best management of several issues of endometriosis. Therefore, the good practice points (GPP) are based on expert experience and opinion. This new guideline provides recommendations for doctors on diagnosis, medical and surgical treatment of endometriosis-associated pain and infertility, prevention of recurrence, the management of adolescents and peri-menopausal women, issues of endometriosis associated malignancy, as well as patient education.</w:t>
      </w:r>
    </w:p>
    <w:p w14:paraId="45374600" w14:textId="77777777" w:rsidR="008F4955" w:rsidRPr="00A71D3B" w:rsidRDefault="008F4955" w:rsidP="008F4955">
      <w:pPr>
        <w:shd w:val="clear" w:color="auto" w:fill="FFFFFF"/>
        <w:rPr>
          <w:rFonts w:ascii="Segoe UI" w:eastAsia="Times New Roman" w:hAnsi="Segoe UI" w:cs="Segoe UI"/>
          <w:color w:val="212121"/>
        </w:rPr>
      </w:pPr>
      <w:r w:rsidRPr="00A71D3B">
        <w:rPr>
          <w:rFonts w:ascii="Segoe UI" w:eastAsia="Times New Roman" w:hAnsi="Segoe UI" w:cs="Segoe UI"/>
          <w:color w:val="212121"/>
        </w:rPr>
        <w:t> </w:t>
      </w:r>
    </w:p>
    <w:p w14:paraId="2FACA3C7" w14:textId="6F798422"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4955"/>
    <w:rsid w:val="000103D1"/>
    <w:rsid w:val="00016D92"/>
    <w:rsid w:val="0004655A"/>
    <w:rsid w:val="00085D85"/>
    <w:rsid w:val="000911C6"/>
    <w:rsid w:val="0009365F"/>
    <w:rsid w:val="00165008"/>
    <w:rsid w:val="00364F02"/>
    <w:rsid w:val="00523748"/>
    <w:rsid w:val="005E1977"/>
    <w:rsid w:val="00627A86"/>
    <w:rsid w:val="006419FC"/>
    <w:rsid w:val="00772B32"/>
    <w:rsid w:val="007A061C"/>
    <w:rsid w:val="007F31DC"/>
    <w:rsid w:val="00852BED"/>
    <w:rsid w:val="008F4955"/>
    <w:rsid w:val="009F33F4"/>
    <w:rsid w:val="00A16744"/>
    <w:rsid w:val="00A80B37"/>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57DAEF8F"/>
  <w15:chartTrackingRefBased/>
  <w15:docId w15:val="{C8061F5A-0505-8A4F-9C8F-F84B60BE7F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8F4955"/>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F4955"/>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8F4955"/>
    <w:rPr>
      <w:color w:val="0000FF"/>
      <w:u w:val="single"/>
    </w:rPr>
  </w:style>
  <w:style w:type="paragraph" w:styleId="NormalWeb">
    <w:name w:val="Normal (Web)"/>
    <w:basedOn w:val="Normal"/>
    <w:uiPriority w:val="99"/>
    <w:unhideWhenUsed/>
    <w:rsid w:val="008F4955"/>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8F49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ubmed.ncbi.nlm.nih.gov/3495495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34954958/" TargetMode="External"/><Relationship Id="rId5" Type="http://schemas.openxmlformats.org/officeDocument/2006/relationships/hyperlink" Target="https://pubmed.ncbi.nlm.nih.gov/34954958/"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241</Words>
  <Characters>1378</Characters>
  <Application>Microsoft Office Word</Application>
  <DocSecurity>0</DocSecurity>
  <Lines>11</Lines>
  <Paragraphs>3</Paragraphs>
  <ScaleCrop>false</ScaleCrop>
  <Company/>
  <LinksUpToDate>false</LinksUpToDate>
  <CharactersWithSpaces>1616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2022-01-24T08:42:00Z</dcterms:created>
  <dcterms:modified xsi:type="dcterms:W3CDTF">2022-01-24T08:42:00Z</dcterms:modified>
</cp:coreProperties>
</file>