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AB7FF" w14:textId="77777777" w:rsidR="00881378" w:rsidRPr="00AD4DA6" w:rsidRDefault="00881378" w:rsidP="00881378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AD4DA6">
          <w:rPr>
            <w:rFonts w:ascii="Segoe UI" w:eastAsia="Times New Roman" w:hAnsi="Segoe UI" w:cs="Segoe UI"/>
            <w:color w:val="0071BC"/>
          </w:rPr>
          <w:t>Antiangiogenic Therapy as a New Strategy in the Treatment of </w:t>
        </w:r>
        <w:r w:rsidRPr="00AD4DA6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AD4DA6">
          <w:rPr>
            <w:rFonts w:ascii="Segoe UI" w:eastAsia="Times New Roman" w:hAnsi="Segoe UI" w:cs="Segoe UI"/>
            <w:color w:val="0071BC"/>
          </w:rPr>
          <w:t>? The First Case Report.</w:t>
        </w:r>
      </w:hyperlink>
    </w:p>
    <w:p w14:paraId="51E16290" w14:textId="77777777" w:rsidR="00881378" w:rsidRDefault="00881378" w:rsidP="00881378">
      <w:pPr>
        <w:shd w:val="clear" w:color="auto" w:fill="FFFFFF"/>
        <w:rPr>
          <w:rFonts w:ascii="Segoe UI" w:eastAsia="Times New Roman" w:hAnsi="Segoe UI" w:cs="Segoe UI"/>
          <w:b/>
          <w:bCs/>
          <w:color w:val="C05600"/>
        </w:rPr>
      </w:pPr>
      <w:r w:rsidRPr="00A71D3B">
        <w:rPr>
          <w:rFonts w:ascii="Segoe UI" w:eastAsia="Times New Roman" w:hAnsi="Segoe UI" w:cs="Segoe UI"/>
          <w:color w:val="212121"/>
        </w:rPr>
        <w:t>Bouquet de Joliniere J, Fruscalzo A, Khomsi F, Stochino Loi E, Cherbanyk F, Ayoubi JM, Feki A.</w:t>
      </w:r>
      <w:r w:rsidRPr="00A71D3B">
        <w:rPr>
          <w:rFonts w:ascii="Segoe UI" w:eastAsia="Times New Roman" w:hAnsi="Segoe UI" w:cs="Segoe UI"/>
          <w:color w:val="4D8055"/>
        </w:rPr>
        <w:t>Front Surg. 2021 Dec 6;8:791686. doi: 10.3389/fsurg.2021.791686. eCollection 2021.PMID: 34938768 </w:t>
      </w:r>
      <w:r w:rsidRPr="00A71D3B">
        <w:rPr>
          <w:rFonts w:ascii="Segoe UI" w:eastAsia="Times New Roman" w:hAnsi="Segoe UI" w:cs="Segoe UI"/>
          <w:b/>
          <w:bCs/>
          <w:color w:val="C05600"/>
        </w:rPr>
        <w:t>Free PMC article.</w:t>
      </w:r>
    </w:p>
    <w:p w14:paraId="4E8F1F9A" w14:textId="77777777" w:rsidR="00881378" w:rsidRDefault="00881378" w:rsidP="00881378">
      <w:pPr>
        <w:shd w:val="clear" w:color="auto" w:fill="FFFFFF"/>
        <w:rPr>
          <w:rFonts w:ascii="Segoe UI" w:eastAsia="Times New Roman" w:hAnsi="Segoe UI" w:cs="Segoe UI"/>
          <w:b/>
          <w:bCs/>
          <w:color w:val="C05600"/>
        </w:rPr>
      </w:pPr>
    </w:p>
    <w:p w14:paraId="63BC495C" w14:textId="77777777" w:rsidR="00881378" w:rsidRDefault="00881378" w:rsidP="00881378">
      <w:pPr>
        <w:pStyle w:val="Heading2"/>
        <w:shd w:val="clear" w:color="auto" w:fill="FFFFFF"/>
        <w:rPr>
          <w:rFonts w:ascii="Merriweather" w:hAnsi="Merriweather"/>
          <w:color w:val="212121"/>
        </w:rPr>
      </w:pPr>
      <w:r>
        <w:rPr>
          <w:rFonts w:ascii="Merriweather" w:hAnsi="Merriweather"/>
          <w:color w:val="212121"/>
        </w:rPr>
        <w:t>Abstract</w:t>
      </w:r>
    </w:p>
    <w:p w14:paraId="49573646" w14:textId="77777777" w:rsidR="00881378" w:rsidRDefault="00881378" w:rsidP="00881378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Fonts w:ascii="Segoe UI" w:hAnsi="Segoe UI" w:cs="Segoe UI"/>
          <w:color w:val="212121"/>
        </w:rPr>
        <w:t>Angiogenesis plays a pivotal role in implantation and development of ectopic endometrial lesions. Thus, the potential usefulness of anti-angiogenic therapies has been speculated. Several reports describe their usefulness in animal models. Nonetheless this therapy has not been tested on humans yet. Here we report the outcome of a patient treated for a severe endometriosis with Bevacizumab (Avastin®), a monoclonal antibody directed against the vascular endothelial growth (VEGF). After a first-look laparoscopy with confirmatory biopsies was performed, three doses of Bevacizumab at 2-week intervals were administered. The therapy showed a well-tolerated profile and the prompt disappearance of the therapy-refractory chronic dysmenorrhea. A suppression of metabolic activity at the PET-scan compared to the basal one performed at diagnosis was also recorded. Furthermore, compared to the diagnostic biopsies prior the treatment, we documented a shift in the hormonal receptors profile toward a higher expression of progesterone and estrogen receptors in the endometriotic lesions.</w:t>
      </w:r>
    </w:p>
    <w:p w14:paraId="31C9EBD4" w14:textId="77777777" w:rsidR="00881378" w:rsidRDefault="00881378" w:rsidP="00881378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Keywords: </w:t>
      </w:r>
      <w:r>
        <w:rPr>
          <w:rFonts w:ascii="Segoe UI" w:hAnsi="Segoe UI" w:cs="Segoe UI"/>
          <w:color w:val="212121"/>
        </w:rPr>
        <w:t>Avastin; Bevacizumab; VEGF; anti-angiogenesis; case report; endometriosis.</w:t>
      </w:r>
    </w:p>
    <w:p w14:paraId="17560198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378"/>
    <w:rsid w:val="000103D1"/>
    <w:rsid w:val="00016D92"/>
    <w:rsid w:val="0004655A"/>
    <w:rsid w:val="00085D85"/>
    <w:rsid w:val="000911C6"/>
    <w:rsid w:val="0009365F"/>
    <w:rsid w:val="00165008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881378"/>
    <w:rsid w:val="009F33F4"/>
    <w:rsid w:val="00A16744"/>
    <w:rsid w:val="00A80B37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BEED363"/>
  <w15:chartTrackingRefBased/>
  <w15:docId w15:val="{D9E495DD-68B1-A24D-AF43-A8668C0C5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378"/>
  </w:style>
  <w:style w:type="paragraph" w:styleId="Heading2">
    <w:name w:val="heading 2"/>
    <w:basedOn w:val="Normal"/>
    <w:link w:val="Heading2Char"/>
    <w:uiPriority w:val="9"/>
    <w:qFormat/>
    <w:rsid w:val="0088137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137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88137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881378"/>
    <w:rPr>
      <w:b/>
      <w:bCs/>
    </w:rPr>
  </w:style>
  <w:style w:type="paragraph" w:styleId="ListParagraph">
    <w:name w:val="List Paragraph"/>
    <w:basedOn w:val="Normal"/>
    <w:uiPriority w:val="34"/>
    <w:qFormat/>
    <w:rsid w:val="008813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3493876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2022-01-24T08:46:00Z</dcterms:created>
  <dcterms:modified xsi:type="dcterms:W3CDTF">2022-01-24T08:46:00Z</dcterms:modified>
</cp:coreProperties>
</file>