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CA165E" w14:textId="77777777" w:rsidR="008B5755" w:rsidRPr="00A71D3B" w:rsidRDefault="008B5755" w:rsidP="008B5755">
      <w:pPr>
        <w:shd w:val="clear" w:color="auto" w:fill="FFFFFF"/>
        <w:rPr>
          <w:rFonts w:ascii="Segoe UI" w:eastAsia="Times New Roman" w:hAnsi="Segoe UI" w:cs="Segoe UI"/>
          <w:color w:val="212121"/>
        </w:rPr>
      </w:pPr>
    </w:p>
    <w:p w14:paraId="14C903B8" w14:textId="77777777" w:rsidR="008B5755" w:rsidRPr="00AD4DA6" w:rsidRDefault="008B5755" w:rsidP="008B5755">
      <w:pPr>
        <w:pStyle w:val="ListParagraph"/>
        <w:numPr>
          <w:ilvl w:val="0"/>
          <w:numId w:val="1"/>
        </w:numPr>
        <w:shd w:val="clear" w:color="auto" w:fill="FFFFFF"/>
        <w:rPr>
          <w:rFonts w:ascii="Segoe UI" w:eastAsia="Times New Roman" w:hAnsi="Segoe UI" w:cs="Segoe UI"/>
          <w:color w:val="212121"/>
        </w:rPr>
      </w:pPr>
      <w:hyperlink r:id="rId5" w:history="1">
        <w:r w:rsidRPr="00AD4DA6">
          <w:rPr>
            <w:rFonts w:ascii="Segoe UI" w:eastAsia="Times New Roman" w:hAnsi="Segoe UI" w:cs="Segoe UI"/>
            <w:color w:val="0071BC"/>
          </w:rPr>
          <w:t>Endometrial asynchrony in pathogenesis of implantation impairment in women with infertility associated with </w:t>
        </w:r>
        <w:r w:rsidRPr="00AD4DA6">
          <w:rPr>
            <w:rFonts w:ascii="Segoe UI" w:eastAsia="Times New Roman" w:hAnsi="Segoe UI" w:cs="Segoe UI"/>
            <w:b/>
            <w:bCs/>
            <w:color w:val="0071BC"/>
          </w:rPr>
          <w:t>endometriosis</w:t>
        </w:r>
        <w:r w:rsidRPr="00AD4DA6">
          <w:rPr>
            <w:rFonts w:ascii="Segoe UI" w:eastAsia="Times New Roman" w:hAnsi="Segoe UI" w:cs="Segoe UI"/>
            <w:color w:val="0071BC"/>
          </w:rPr>
          <w:t>.</w:t>
        </w:r>
      </w:hyperlink>
    </w:p>
    <w:p w14:paraId="7EA06F13" w14:textId="77777777" w:rsidR="008B5755" w:rsidRPr="00A71D3B" w:rsidRDefault="008B5755" w:rsidP="008B5755">
      <w:pPr>
        <w:shd w:val="clear" w:color="auto" w:fill="FFFFFF"/>
        <w:rPr>
          <w:rFonts w:ascii="Segoe UI" w:eastAsia="Times New Roman" w:hAnsi="Segoe UI" w:cs="Segoe UI"/>
          <w:color w:val="4D8055"/>
        </w:rPr>
      </w:pPr>
      <w:r w:rsidRPr="00A71D3B">
        <w:rPr>
          <w:rFonts w:ascii="Segoe UI" w:eastAsia="Times New Roman" w:hAnsi="Segoe UI" w:cs="Segoe UI"/>
          <w:color w:val="212121"/>
        </w:rPr>
        <w:t>Orazov MR, Radzinskiy VE, Kostin IN, Gagaev CG, Orekhov RE.</w:t>
      </w:r>
      <w:r w:rsidRPr="00A71D3B">
        <w:rPr>
          <w:rFonts w:ascii="Segoe UI" w:eastAsia="Times New Roman" w:hAnsi="Segoe UI" w:cs="Segoe UI"/>
          <w:color w:val="4D8055"/>
        </w:rPr>
        <w:t>Gynecol Endocrinol. 2021;37(sup1):1-3. doi: 10.1080/09513590.2021.2006437.PMID: 34937513</w:t>
      </w:r>
    </w:p>
    <w:p w14:paraId="6BD225CF" w14:textId="77777777" w:rsidR="008B5755" w:rsidRDefault="008B5755" w:rsidP="008B5755">
      <w:pPr>
        <w:pStyle w:val="Heading2"/>
        <w:shd w:val="clear" w:color="auto" w:fill="FFFFFF"/>
        <w:rPr>
          <w:rFonts w:ascii="Merriweather" w:hAnsi="Merriweather"/>
          <w:color w:val="212121"/>
        </w:rPr>
      </w:pPr>
      <w:r>
        <w:rPr>
          <w:rFonts w:ascii="Merriweather" w:hAnsi="Merriweather"/>
          <w:color w:val="212121"/>
        </w:rPr>
        <w:t>Abstract</w:t>
      </w:r>
    </w:p>
    <w:p w14:paraId="7801646A" w14:textId="77777777" w:rsidR="008B5755" w:rsidRDefault="008B5755" w:rsidP="008B5755">
      <w:pPr>
        <w:pStyle w:val="NormalWeb"/>
        <w:shd w:val="clear" w:color="auto" w:fill="FFFFFF"/>
        <w:rPr>
          <w:rFonts w:ascii="Segoe UI" w:hAnsi="Segoe UI" w:cs="Segoe UI"/>
          <w:color w:val="212121"/>
        </w:rPr>
      </w:pPr>
      <w:r>
        <w:rPr>
          <w:rFonts w:ascii="Segoe UI" w:hAnsi="Segoe UI" w:cs="Segoe UI"/>
          <w:color w:val="212121"/>
        </w:rPr>
        <w:t>There is a statistically significant difference in the frequency of implantation in the group of patients with endometriosis associated with infertility compared with the control group. This has been confirmed by a number of different studies. The aim of the study to expand the understanding of the pathogenesis of implantation failures in patients with infertility associated with endometriosis</w:t>
      </w:r>
      <w:r>
        <w:rPr>
          <w:rFonts w:ascii="Segoe UI" w:hAnsi="Segoe UI" w:cs="Segoe UI"/>
          <w:b/>
          <w:bCs/>
          <w:color w:val="212121"/>
        </w:rPr>
        <w:t>Materials and research methods:</w:t>
      </w:r>
      <w:r>
        <w:rPr>
          <w:rFonts w:ascii="Segoe UI" w:hAnsi="Segoe UI" w:cs="Segoe UI"/>
          <w:color w:val="212121"/>
        </w:rPr>
        <w:t> The present study included 83 women aged 29 to 43 years (the average age was 33 ± 3.2 years) with a diagnosis of endometriosis (ICD10 code N80.9 Endometriosis, unspecified), as well as infertility (ICD10 code N 97.8, Female infertility of other origin) and repeated implantation failures. All patients of the studied cohort underwent an immunohistochemical study of endometrial biopsy samples taken by the pipel-biopsy of the endometrium during the period of the supposed "implantation window".</w:t>
      </w:r>
      <w:r>
        <w:rPr>
          <w:rFonts w:ascii="Segoe UI" w:hAnsi="Segoe UI" w:cs="Segoe UI"/>
          <w:b/>
          <w:bCs/>
          <w:color w:val="212121"/>
        </w:rPr>
        <w:t>Research results:</w:t>
      </w:r>
      <w:r>
        <w:rPr>
          <w:rFonts w:ascii="Segoe UI" w:hAnsi="Segoe UI" w:cs="Segoe UI"/>
          <w:color w:val="212121"/>
        </w:rPr>
        <w:t xml:space="preserve"> Significant decrease in the immunological labeling of VEGF-A in samples from the ERIF group by </w:t>
      </w:r>
      <w:r>
        <w:rPr>
          <w:rFonts w:ascii="Cambria Math" w:hAnsi="Cambria Math" w:cs="Cambria Math"/>
          <w:color w:val="212121"/>
        </w:rPr>
        <w:t>∼</w:t>
      </w:r>
      <w:r>
        <w:rPr>
          <w:rFonts w:ascii="Segoe UI" w:hAnsi="Segoe UI" w:cs="Segoe UI"/>
          <w:color w:val="212121"/>
        </w:rPr>
        <w:t>2.7 times in comparison with EF group (</w:t>
      </w:r>
      <w:r>
        <w:rPr>
          <w:rFonts w:ascii="Segoe UI" w:hAnsi="Segoe UI" w:cs="Segoe UI"/>
          <w:i/>
          <w:iCs/>
          <w:color w:val="212121"/>
        </w:rPr>
        <w:t>p</w:t>
      </w:r>
      <w:r>
        <w:rPr>
          <w:rFonts w:ascii="Segoe UI" w:hAnsi="Segoe UI" w:cs="Segoe UI"/>
          <w:color w:val="212121"/>
        </w:rPr>
        <w:t xml:space="preserve"> &lt; .05), the indices of expression of the proapoptotic protein CASP3 are increased in the samples of the ERIF group in comparison with the EF group (by </w:t>
      </w:r>
      <w:r>
        <w:rPr>
          <w:rFonts w:ascii="Cambria Math" w:hAnsi="Cambria Math" w:cs="Cambria Math"/>
          <w:color w:val="212121"/>
        </w:rPr>
        <w:t>∼</w:t>
      </w:r>
      <w:r>
        <w:rPr>
          <w:rFonts w:ascii="Segoe UI" w:hAnsi="Segoe UI" w:cs="Segoe UI"/>
          <w:color w:val="212121"/>
        </w:rPr>
        <w:t>2.7 times, </w:t>
      </w:r>
      <w:r>
        <w:rPr>
          <w:rFonts w:ascii="Segoe UI" w:hAnsi="Segoe UI" w:cs="Segoe UI"/>
          <w:i/>
          <w:iCs/>
          <w:color w:val="212121"/>
        </w:rPr>
        <w:t>p</w:t>
      </w:r>
      <w:r>
        <w:rPr>
          <w:rFonts w:ascii="Segoe UI" w:hAnsi="Segoe UI" w:cs="Segoe UI"/>
          <w:color w:val="212121"/>
        </w:rPr>
        <w:t> &lt; .05) and significant decrease in the expression of HOXA10 in the stromal and glandular compartments (2.4 times; 57.2 vs. 23.5%, </w:t>
      </w:r>
      <w:r>
        <w:rPr>
          <w:rFonts w:ascii="Segoe UI" w:hAnsi="Segoe UI" w:cs="Segoe UI"/>
          <w:i/>
          <w:iCs/>
          <w:color w:val="212121"/>
        </w:rPr>
        <w:t>p</w:t>
      </w:r>
      <w:r>
        <w:rPr>
          <w:rFonts w:ascii="Segoe UI" w:hAnsi="Segoe UI" w:cs="Segoe UI"/>
          <w:color w:val="212121"/>
        </w:rPr>
        <w:t> &lt; .05).</w:t>
      </w:r>
      <w:r>
        <w:rPr>
          <w:rFonts w:ascii="Segoe UI" w:hAnsi="Segoe UI" w:cs="Segoe UI"/>
          <w:b/>
          <w:bCs/>
          <w:color w:val="212121"/>
        </w:rPr>
        <w:t>Conclusion:</w:t>
      </w:r>
      <w:r>
        <w:rPr>
          <w:rFonts w:ascii="Segoe UI" w:hAnsi="Segoe UI" w:cs="Segoe UI"/>
          <w:color w:val="212121"/>
        </w:rPr>
        <w:t> On the basis of the obtained results of the study, it should be concluded that the basis of implantation impairment in patients with repeated implantation failures associated with endometriosis lies in angiogenetic and apoptotic disorders and leads to implantation failure in the eutopic endometrium due to desynchronous transformation of the epithelial-mesenchymal compartment and disruption of endometrial trophism.</w:t>
      </w:r>
    </w:p>
    <w:p w14:paraId="68763E33" w14:textId="77777777" w:rsidR="008B5755" w:rsidRDefault="008B5755" w:rsidP="008B5755">
      <w:pPr>
        <w:pStyle w:val="NormalWeb"/>
        <w:shd w:val="clear" w:color="auto" w:fill="FFFFFF"/>
        <w:rPr>
          <w:rFonts w:ascii="Segoe UI" w:hAnsi="Segoe UI" w:cs="Segoe UI"/>
          <w:color w:val="212121"/>
        </w:rPr>
      </w:pPr>
      <w:r>
        <w:rPr>
          <w:rStyle w:val="Strong"/>
          <w:rFonts w:ascii="Segoe UI" w:hAnsi="Segoe UI" w:cs="Segoe UI"/>
          <w:color w:val="212121"/>
        </w:rPr>
        <w:t>Keywords: </w:t>
      </w:r>
      <w:r>
        <w:rPr>
          <w:rFonts w:ascii="Segoe UI" w:hAnsi="Segoe UI" w:cs="Segoe UI"/>
          <w:color w:val="212121"/>
        </w:rPr>
        <w:t>Implantation failures; endometriosis; infertility.</w:t>
      </w:r>
    </w:p>
    <w:p w14:paraId="305120C4"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erriweather">
    <w:panose1 w:val="00000500000000000000"/>
    <w:charset w:val="4D"/>
    <w:family w:val="auto"/>
    <w:pitch w:val="variable"/>
    <w:sig w:usb0="20000207" w:usb1="00000002" w:usb2="00000000" w:usb3="00000000" w:csb0="00000197"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524440"/>
    <w:multiLevelType w:val="hybridMultilevel"/>
    <w:tmpl w:val="20D6FC8A"/>
    <w:lvl w:ilvl="0" w:tplc="42BA60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5755"/>
    <w:rsid w:val="000103D1"/>
    <w:rsid w:val="00016D92"/>
    <w:rsid w:val="0004655A"/>
    <w:rsid w:val="00085D85"/>
    <w:rsid w:val="000911C6"/>
    <w:rsid w:val="0009365F"/>
    <w:rsid w:val="00165008"/>
    <w:rsid w:val="00364F02"/>
    <w:rsid w:val="00523748"/>
    <w:rsid w:val="005E1977"/>
    <w:rsid w:val="00627A86"/>
    <w:rsid w:val="006419FC"/>
    <w:rsid w:val="00772B32"/>
    <w:rsid w:val="007A061C"/>
    <w:rsid w:val="007F31DC"/>
    <w:rsid w:val="00852BED"/>
    <w:rsid w:val="008B5755"/>
    <w:rsid w:val="009F33F4"/>
    <w:rsid w:val="00A16744"/>
    <w:rsid w:val="00A80B37"/>
    <w:rsid w:val="00BC5051"/>
    <w:rsid w:val="00BC6850"/>
    <w:rsid w:val="00C275F8"/>
    <w:rsid w:val="00CA0ECB"/>
    <w:rsid w:val="00CA1A8E"/>
    <w:rsid w:val="00CB574B"/>
    <w:rsid w:val="00CB5B2F"/>
    <w:rsid w:val="00CE09C4"/>
    <w:rsid w:val="00D86657"/>
    <w:rsid w:val="00DD3612"/>
    <w:rsid w:val="00F473E1"/>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702AC3D1"/>
  <w15:chartTrackingRefBased/>
  <w15:docId w15:val="{C821A5D2-4EE7-FE4D-9958-2E3129E8C2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5755"/>
  </w:style>
  <w:style w:type="paragraph" w:styleId="Heading2">
    <w:name w:val="heading 2"/>
    <w:basedOn w:val="Normal"/>
    <w:link w:val="Heading2Char"/>
    <w:uiPriority w:val="9"/>
    <w:qFormat/>
    <w:rsid w:val="008B5755"/>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B5755"/>
    <w:rPr>
      <w:rFonts w:ascii="Times New Roman" w:eastAsia="Times New Roman" w:hAnsi="Times New Roman" w:cs="Times New Roman"/>
      <w:b/>
      <w:bCs/>
      <w:sz w:val="36"/>
      <w:szCs w:val="36"/>
    </w:rPr>
  </w:style>
  <w:style w:type="paragraph" w:styleId="NormalWeb">
    <w:name w:val="Normal (Web)"/>
    <w:basedOn w:val="Normal"/>
    <w:uiPriority w:val="99"/>
    <w:unhideWhenUsed/>
    <w:rsid w:val="008B5755"/>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8B5755"/>
    <w:rPr>
      <w:b/>
      <w:bCs/>
    </w:rPr>
  </w:style>
  <w:style w:type="paragraph" w:styleId="ListParagraph">
    <w:name w:val="List Paragraph"/>
    <w:basedOn w:val="Normal"/>
    <w:uiPriority w:val="34"/>
    <w:qFormat/>
    <w:rsid w:val="008B575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pubmed.ncbi.nlm.nih.gov/34937513/"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330</Words>
  <Characters>1882</Characters>
  <Application>Microsoft Office Word</Application>
  <DocSecurity>0</DocSecurity>
  <Lines>15</Lines>
  <Paragraphs>4</Paragraphs>
  <ScaleCrop>false</ScaleCrop>
  <Company/>
  <LinksUpToDate>false</LinksUpToDate>
  <CharactersWithSpaces>2208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2022-01-24T08:46:00Z</dcterms:created>
  <dcterms:modified xsi:type="dcterms:W3CDTF">2022-01-24T08:46:00Z</dcterms:modified>
</cp:coreProperties>
</file>