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270C70" w14:textId="77777777" w:rsidR="00B6195D" w:rsidRDefault="00B6195D" w:rsidP="00B6195D">
      <w:pPr>
        <w:shd w:val="clear" w:color="auto" w:fill="FFFFFF"/>
        <w:rPr>
          <w:rFonts w:ascii="Segoe UI" w:hAnsi="Segoe UI" w:cs="Segoe UI"/>
          <w:color w:val="212121"/>
        </w:rPr>
      </w:pPr>
      <w:r w:rsidRPr="00A71D3B">
        <w:rPr>
          <w:rFonts w:ascii="Segoe UI" w:eastAsia="Times New Roman" w:hAnsi="Segoe UI" w:cs="Segoe UI"/>
          <w:color w:val="212121"/>
        </w:rPr>
        <w:t> </w:t>
      </w:r>
    </w:p>
    <w:p w14:paraId="4C14EE31" w14:textId="77777777" w:rsidR="00B6195D" w:rsidRPr="00A71D3B" w:rsidRDefault="00B6195D" w:rsidP="00B6195D">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5A02AEE8" w14:textId="77777777" w:rsidR="00B6195D" w:rsidRPr="00A71D3B" w:rsidRDefault="00B6195D" w:rsidP="00B6195D">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33FCE3B5" w14:textId="77777777" w:rsidR="00B6195D" w:rsidRPr="00AD4DA6" w:rsidRDefault="00B6195D" w:rsidP="00B6195D">
      <w:pPr>
        <w:pStyle w:val="ListParagraph"/>
        <w:numPr>
          <w:ilvl w:val="0"/>
          <w:numId w:val="1"/>
        </w:numPr>
        <w:shd w:val="clear" w:color="auto" w:fill="FFFFFF"/>
        <w:rPr>
          <w:rFonts w:ascii="Segoe UI" w:eastAsia="Times New Roman" w:hAnsi="Segoe UI" w:cs="Segoe UI"/>
          <w:color w:val="212121"/>
        </w:rPr>
      </w:pPr>
      <w:hyperlink r:id="rId5" w:history="1">
        <w:r w:rsidRPr="00AD4DA6">
          <w:rPr>
            <w:rFonts w:ascii="Segoe UI" w:eastAsia="Times New Roman" w:hAnsi="Segoe UI" w:cs="Segoe UI"/>
            <w:color w:val="0071BC"/>
          </w:rPr>
          <w:t>Sexual Function of Women With Deep </w:t>
        </w:r>
        <w:r w:rsidRPr="00AD4DA6">
          <w:rPr>
            <w:rFonts w:ascii="Segoe UI" w:eastAsia="Times New Roman" w:hAnsi="Segoe UI" w:cs="Segoe UI"/>
            <w:b/>
            <w:bCs/>
            <w:color w:val="0071BC"/>
          </w:rPr>
          <w:t>Endometriosis</w:t>
        </w:r>
        <w:r w:rsidRPr="00AD4DA6">
          <w:rPr>
            <w:rFonts w:ascii="Segoe UI" w:eastAsia="Times New Roman" w:hAnsi="Segoe UI" w:cs="Segoe UI"/>
            <w:color w:val="0071BC"/>
          </w:rPr>
          <w:t> Before and After Surgery: A Prospective Study.</w:t>
        </w:r>
      </w:hyperlink>
    </w:p>
    <w:p w14:paraId="07B8600A" w14:textId="77777777" w:rsidR="00B6195D" w:rsidRPr="00A71D3B" w:rsidRDefault="00B6195D" w:rsidP="00B6195D">
      <w:pPr>
        <w:shd w:val="clear" w:color="auto" w:fill="FFFFFF"/>
        <w:rPr>
          <w:rFonts w:ascii="Segoe UI" w:eastAsia="Times New Roman" w:hAnsi="Segoe UI" w:cs="Segoe UI"/>
          <w:color w:val="4D8055"/>
        </w:rPr>
      </w:pPr>
      <w:r w:rsidRPr="00A71D3B">
        <w:rPr>
          <w:rFonts w:ascii="Segoe UI" w:eastAsia="Times New Roman" w:hAnsi="Segoe UI" w:cs="Segoe UI"/>
          <w:color w:val="212121"/>
        </w:rPr>
        <w:t>Dior UP, Reddington C, Cheng C, Levin G, Healey M.</w:t>
      </w:r>
      <w:r w:rsidRPr="00A71D3B">
        <w:rPr>
          <w:rFonts w:ascii="Segoe UI" w:eastAsia="Times New Roman" w:hAnsi="Segoe UI" w:cs="Segoe UI"/>
          <w:color w:val="4D8055"/>
        </w:rPr>
        <w:t>J Sex Med. 2021 Dec 17:S1743-6095(21)00785-2. doi: 10.1016/j.jsxm.2021.11.009. Online ahead of print.PMID: 34930708</w:t>
      </w:r>
    </w:p>
    <w:p w14:paraId="47490579" w14:textId="77777777" w:rsidR="00B6195D" w:rsidRDefault="00B6195D" w:rsidP="00B6195D">
      <w:pPr>
        <w:shd w:val="clear" w:color="auto" w:fill="FFFFFF"/>
        <w:rPr>
          <w:rFonts w:ascii="Segoe UI" w:eastAsia="Times New Roman" w:hAnsi="Segoe UI" w:cs="Segoe UI"/>
          <w:color w:val="212121"/>
        </w:rPr>
      </w:pPr>
    </w:p>
    <w:p w14:paraId="5763C261" w14:textId="77777777" w:rsidR="00B6195D" w:rsidRDefault="00B6195D" w:rsidP="00B6195D">
      <w:pPr>
        <w:pStyle w:val="Heading2"/>
        <w:shd w:val="clear" w:color="auto" w:fill="FFFFFF"/>
        <w:rPr>
          <w:rFonts w:ascii="Merriweather" w:hAnsi="Merriweather"/>
          <w:color w:val="212121"/>
        </w:rPr>
      </w:pPr>
      <w:r>
        <w:rPr>
          <w:rFonts w:ascii="Merriweather" w:hAnsi="Merriweather"/>
          <w:color w:val="212121"/>
        </w:rPr>
        <w:t>Abstract</w:t>
      </w:r>
    </w:p>
    <w:p w14:paraId="2924F1C2" w14:textId="77777777" w:rsidR="00B6195D" w:rsidRDefault="00B6195D" w:rsidP="00B6195D">
      <w:pPr>
        <w:pStyle w:val="NormalWeb"/>
        <w:shd w:val="clear" w:color="auto" w:fill="FFFFFF"/>
        <w:rPr>
          <w:rFonts w:ascii="Segoe UI" w:hAnsi="Segoe UI" w:cs="Segoe UI"/>
          <w:color w:val="212121"/>
        </w:rPr>
      </w:pPr>
      <w:r>
        <w:rPr>
          <w:rStyle w:val="Strong"/>
          <w:rFonts w:ascii="Segoe UI" w:hAnsi="Segoe UI" w:cs="Segoe UI"/>
          <w:color w:val="212121"/>
        </w:rPr>
        <w:t>Background: </w:t>
      </w:r>
      <w:r>
        <w:rPr>
          <w:rFonts w:ascii="Segoe UI" w:hAnsi="Segoe UI" w:cs="Segoe UI"/>
          <w:color w:val="212121"/>
        </w:rPr>
        <w:t>Deep endometriosis (DE) may significantly affect women's quality of life. Limited data exists on the effect of surgery on the several domains of sexual function.</w:t>
      </w:r>
    </w:p>
    <w:p w14:paraId="095B763F" w14:textId="77777777" w:rsidR="00B6195D" w:rsidRDefault="00B6195D" w:rsidP="00B6195D">
      <w:pPr>
        <w:pStyle w:val="NormalWeb"/>
        <w:shd w:val="clear" w:color="auto" w:fill="FFFFFF"/>
        <w:rPr>
          <w:rFonts w:ascii="Segoe UI" w:hAnsi="Segoe UI" w:cs="Segoe UI"/>
          <w:color w:val="212121"/>
        </w:rPr>
      </w:pPr>
      <w:r>
        <w:rPr>
          <w:rStyle w:val="Strong"/>
          <w:rFonts w:ascii="Segoe UI" w:hAnsi="Segoe UI" w:cs="Segoe UI"/>
          <w:color w:val="212121"/>
        </w:rPr>
        <w:t>Aim: </w:t>
      </w:r>
      <w:r>
        <w:rPr>
          <w:rFonts w:ascii="Segoe UI" w:hAnsi="Segoe UI" w:cs="Segoe UI"/>
          <w:color w:val="212121"/>
        </w:rPr>
        <w:t>To prospectively compare various domains of sexual function before and after laparoscopic surgery for DE.</w:t>
      </w:r>
    </w:p>
    <w:p w14:paraId="14D40F67" w14:textId="77777777" w:rsidR="00B6195D" w:rsidRDefault="00B6195D" w:rsidP="00B6195D">
      <w:pPr>
        <w:pStyle w:val="NormalWeb"/>
        <w:shd w:val="clear" w:color="auto" w:fill="FFFFFF"/>
        <w:rPr>
          <w:rFonts w:ascii="Segoe UI" w:hAnsi="Segoe UI" w:cs="Segoe UI"/>
          <w:color w:val="212121"/>
        </w:rPr>
      </w:pPr>
      <w:r>
        <w:rPr>
          <w:rStyle w:val="Strong"/>
          <w:rFonts w:ascii="Segoe UI" w:hAnsi="Segoe UI" w:cs="Segoe UI"/>
          <w:color w:val="212121"/>
        </w:rPr>
        <w:t>Methods: </w:t>
      </w:r>
      <w:r>
        <w:rPr>
          <w:rFonts w:ascii="Segoe UI" w:hAnsi="Segoe UI" w:cs="Segoe UI"/>
          <w:color w:val="212121"/>
        </w:rPr>
        <w:t>A prospective observational cohort study in a tertiary university-affiliated referral center. Patients with suspected DE who were planned to undergo laparoscopic surgery completed the Female Sexual Function Index questionnaire before surgery. The same questionnaire was completed by the participants 6 weeks, 6 months, and 12 months after surgery. Rate of sexual dysfunction over time was compared using multilevel logistic regression. Summary scores were then compared at each time point to the corresponding score before surgery using multilevel linear regression. Multivariable analysis was performed of potential confounders.</w:t>
      </w:r>
    </w:p>
    <w:p w14:paraId="265FA4F5" w14:textId="77777777" w:rsidR="00B6195D" w:rsidRDefault="00B6195D" w:rsidP="00B6195D">
      <w:pPr>
        <w:pStyle w:val="NormalWeb"/>
        <w:shd w:val="clear" w:color="auto" w:fill="FFFFFF"/>
        <w:rPr>
          <w:rFonts w:ascii="Segoe UI" w:hAnsi="Segoe UI" w:cs="Segoe UI"/>
          <w:color w:val="212121"/>
        </w:rPr>
      </w:pPr>
      <w:r>
        <w:rPr>
          <w:rStyle w:val="Strong"/>
          <w:rFonts w:ascii="Segoe UI" w:hAnsi="Segoe UI" w:cs="Segoe UI"/>
          <w:color w:val="212121"/>
        </w:rPr>
        <w:t>Outcomes: </w:t>
      </w:r>
      <w:r>
        <w:rPr>
          <w:rFonts w:ascii="Segoe UI" w:hAnsi="Segoe UI" w:cs="Segoe UI"/>
          <w:color w:val="212121"/>
        </w:rPr>
        <w:t>Change in desire, arousal, orgasm, lubrication, satisfaction and pain summary scores as well as in the full-scale score between before and after surgery.</w:t>
      </w:r>
    </w:p>
    <w:p w14:paraId="3E4809DF" w14:textId="77777777" w:rsidR="00B6195D" w:rsidRDefault="00B6195D" w:rsidP="00B6195D">
      <w:pPr>
        <w:pStyle w:val="NormalWeb"/>
        <w:shd w:val="clear" w:color="auto" w:fill="FFFFFF"/>
        <w:rPr>
          <w:rFonts w:ascii="Segoe UI" w:hAnsi="Segoe UI" w:cs="Segoe UI"/>
          <w:color w:val="212121"/>
        </w:rPr>
      </w:pPr>
      <w:r>
        <w:rPr>
          <w:rStyle w:val="Strong"/>
          <w:rFonts w:ascii="Segoe UI" w:hAnsi="Segoe UI" w:cs="Segoe UI"/>
          <w:color w:val="212121"/>
        </w:rPr>
        <w:t>Results: </w:t>
      </w:r>
      <w:r>
        <w:rPr>
          <w:rFonts w:ascii="Segoe UI" w:hAnsi="Segoe UI" w:cs="Segoe UI"/>
          <w:color w:val="212121"/>
        </w:rPr>
        <w:t>We followed 149 patients with surgically confirmed DE. Sexual dysfunction rate as per the full-scale score was 75.5% before surgery and remained over 60% to 12 months after. The full-scale sexual function score improved at 6 (change in score = 2.8 ± 9.5, P = .004) and 12 months (change in score = 2.1 ± 9.9, P = .03). None of the summary scores improved at 6 weeks. Desire score (P &lt; .001), arousal score (P = .02), and pain score (P = .01) improved at 6 months. Desire score (P = .03) and pain score (P = .01) also improved at 12 months, as compared to before surgery. On multivariable multilevel analysis, scores before surgery significantly contributed to the scores after surgery (P &lt; .001).</w:t>
      </w:r>
    </w:p>
    <w:p w14:paraId="6CAF72B2" w14:textId="77777777" w:rsidR="00B6195D" w:rsidRDefault="00B6195D" w:rsidP="00B6195D">
      <w:pPr>
        <w:pStyle w:val="NormalWeb"/>
        <w:shd w:val="clear" w:color="auto" w:fill="FFFFFF"/>
        <w:rPr>
          <w:rFonts w:ascii="Segoe UI" w:hAnsi="Segoe UI" w:cs="Segoe UI"/>
          <w:color w:val="212121"/>
        </w:rPr>
      </w:pPr>
      <w:r>
        <w:rPr>
          <w:rStyle w:val="Strong"/>
          <w:rFonts w:ascii="Segoe UI" w:hAnsi="Segoe UI" w:cs="Segoe UI"/>
          <w:color w:val="212121"/>
        </w:rPr>
        <w:t>Clinical translation: </w:t>
      </w:r>
      <w:r>
        <w:rPr>
          <w:rFonts w:ascii="Segoe UI" w:hAnsi="Segoe UI" w:cs="Segoe UI"/>
          <w:color w:val="212121"/>
        </w:rPr>
        <w:t xml:space="preserve">While sexual function improved after surgery, dysfunction rate remained substantial. Proper preoperative counseling should address sexual function </w:t>
      </w:r>
      <w:r>
        <w:rPr>
          <w:rFonts w:ascii="Segoe UI" w:hAnsi="Segoe UI" w:cs="Segoe UI"/>
          <w:color w:val="212121"/>
        </w:rPr>
        <w:lastRenderedPageBreak/>
        <w:t>measures and clinical and research attention should be given to seek ways to further reduce sexual dysfunction.</w:t>
      </w:r>
    </w:p>
    <w:p w14:paraId="21D009D5" w14:textId="77777777" w:rsidR="00B6195D" w:rsidRDefault="00B6195D" w:rsidP="00B6195D">
      <w:pPr>
        <w:pStyle w:val="NormalWeb"/>
        <w:shd w:val="clear" w:color="auto" w:fill="FFFFFF"/>
        <w:rPr>
          <w:rFonts w:ascii="Segoe UI" w:hAnsi="Segoe UI" w:cs="Segoe UI"/>
          <w:color w:val="212121"/>
        </w:rPr>
      </w:pPr>
      <w:r>
        <w:rPr>
          <w:rStyle w:val="Strong"/>
          <w:rFonts w:ascii="Segoe UI" w:hAnsi="Segoe UI" w:cs="Segoe UI"/>
          <w:color w:val="212121"/>
        </w:rPr>
        <w:t>Strengths and limitations: </w:t>
      </w:r>
      <w:r>
        <w:rPr>
          <w:rFonts w:ascii="Segoe UI" w:hAnsi="Segoe UI" w:cs="Segoe UI"/>
          <w:color w:val="212121"/>
        </w:rPr>
        <w:t>The main strengths of our study are the prospective design, the relatively long follow-up and the use of a detailed validated questionnaire allowing assessment of a large variety of clinically relevant sexual function domains and scores as well as a full-scale score. Among our limitations are the lower response rate at 12 months and the limited generalizability as this is a single center study.</w:t>
      </w:r>
    </w:p>
    <w:p w14:paraId="4515EAE6" w14:textId="77777777" w:rsidR="00B6195D" w:rsidRDefault="00B6195D" w:rsidP="00B6195D">
      <w:pPr>
        <w:pStyle w:val="NormalWeb"/>
        <w:shd w:val="clear" w:color="auto" w:fill="FFFFFF"/>
        <w:rPr>
          <w:rFonts w:ascii="Segoe UI" w:hAnsi="Segoe UI" w:cs="Segoe UI"/>
          <w:color w:val="212121"/>
        </w:rPr>
      </w:pPr>
      <w:r>
        <w:rPr>
          <w:rStyle w:val="Strong"/>
          <w:rFonts w:ascii="Segoe UI" w:hAnsi="Segoe UI" w:cs="Segoe UI"/>
          <w:color w:val="212121"/>
        </w:rPr>
        <w:t>Conclusion: </w:t>
      </w:r>
      <w:r>
        <w:rPr>
          <w:rFonts w:ascii="Segoe UI" w:hAnsi="Segoe UI" w:cs="Segoe UI"/>
          <w:color w:val="212121"/>
        </w:rPr>
        <w:t>Sexual function is a major and often under reported domain of quality of life. Further research is needed to identify the specific populations who may improve, not change or experience deterioration in their sexual functioning after surgery. Dior UP, Reddington C, Cheng C, et al. Sexual Function of Women With Deep Endometriosis Before and After Surgery: A Prospective Study. J Sex Med 2021;XX:XXX-XXX.</w:t>
      </w:r>
    </w:p>
    <w:p w14:paraId="74E14E12" w14:textId="77777777" w:rsidR="00B6195D" w:rsidRDefault="00B6195D" w:rsidP="00B6195D">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Deep Endometriosis; Female Sexual Function Index; Laparoscopy; Sexual Function.</w:t>
      </w:r>
    </w:p>
    <w:p w14:paraId="027D048D"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95D"/>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F33F4"/>
    <w:rsid w:val="00A16744"/>
    <w:rsid w:val="00A80B37"/>
    <w:rsid w:val="00B6195D"/>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2A5CB1FF"/>
  <w15:chartTrackingRefBased/>
  <w15:docId w15:val="{2B765363-5732-264D-A022-7A39D3A05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195D"/>
  </w:style>
  <w:style w:type="paragraph" w:styleId="Heading2">
    <w:name w:val="heading 2"/>
    <w:basedOn w:val="Normal"/>
    <w:link w:val="Heading2Char"/>
    <w:uiPriority w:val="9"/>
    <w:qFormat/>
    <w:rsid w:val="00B6195D"/>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6195D"/>
    <w:rPr>
      <w:rFonts w:ascii="Times New Roman" w:eastAsia="Times New Roman" w:hAnsi="Times New Roman" w:cs="Times New Roman"/>
      <w:b/>
      <w:bCs/>
      <w:sz w:val="36"/>
      <w:szCs w:val="36"/>
    </w:rPr>
  </w:style>
  <w:style w:type="paragraph" w:styleId="NormalWeb">
    <w:name w:val="Normal (Web)"/>
    <w:basedOn w:val="Normal"/>
    <w:uiPriority w:val="99"/>
    <w:unhideWhenUsed/>
    <w:rsid w:val="00B6195D"/>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B6195D"/>
    <w:rPr>
      <w:b/>
      <w:bCs/>
    </w:rPr>
  </w:style>
  <w:style w:type="paragraph" w:styleId="ListParagraph">
    <w:name w:val="List Paragraph"/>
    <w:basedOn w:val="Normal"/>
    <w:uiPriority w:val="34"/>
    <w:qFormat/>
    <w:rsid w:val="00B619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3070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499</Words>
  <Characters>2846</Characters>
  <Application>Microsoft Office Word</Application>
  <DocSecurity>0</DocSecurity>
  <Lines>23</Lines>
  <Paragraphs>6</Paragraphs>
  <ScaleCrop>false</ScaleCrop>
  <Company/>
  <LinksUpToDate>false</LinksUpToDate>
  <CharactersWithSpaces>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2022-01-24T08:47:00Z</dcterms:created>
  <dcterms:modified xsi:type="dcterms:W3CDTF">2022-01-24T08:47:00Z</dcterms:modified>
</cp:coreProperties>
</file>