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693D" w14:textId="77777777" w:rsidR="000D737B" w:rsidRPr="00A71D3B" w:rsidRDefault="000D737B" w:rsidP="000D737B">
      <w:pPr>
        <w:shd w:val="clear" w:color="auto" w:fill="FFFFFF"/>
        <w:rPr>
          <w:rFonts w:ascii="Segoe UI" w:eastAsia="Times New Roman" w:hAnsi="Segoe UI" w:cs="Segoe UI"/>
          <w:color w:val="212121"/>
        </w:rPr>
      </w:pPr>
    </w:p>
    <w:p w14:paraId="02FB14C4" w14:textId="77777777" w:rsidR="000D737B" w:rsidRPr="00AD4DA6" w:rsidRDefault="000D737B" w:rsidP="000D737B">
      <w:pPr>
        <w:pStyle w:val="ListParagraph"/>
        <w:numPr>
          <w:ilvl w:val="0"/>
          <w:numId w:val="1"/>
        </w:numPr>
        <w:shd w:val="clear" w:color="auto" w:fill="FFFFFF"/>
        <w:rPr>
          <w:rFonts w:ascii="Segoe UI" w:eastAsia="Times New Roman" w:hAnsi="Segoe UI" w:cs="Segoe UI"/>
          <w:color w:val="212121"/>
        </w:rPr>
      </w:pPr>
      <w:hyperlink r:id="rId5" w:history="1">
        <w:r w:rsidRPr="00AD4DA6">
          <w:rPr>
            <w:rFonts w:ascii="Segoe UI" w:eastAsia="Times New Roman" w:hAnsi="Segoe UI" w:cs="Segoe UI"/>
            <w:color w:val="0071BC"/>
          </w:rPr>
          <w:t>Dydrogesterone after 60 years: a glance at the safety profile.</w:t>
        </w:r>
      </w:hyperlink>
    </w:p>
    <w:p w14:paraId="7558613E" w14:textId="77777777" w:rsidR="000D737B" w:rsidRPr="00A71D3B" w:rsidRDefault="000D737B" w:rsidP="000D737B">
      <w:pPr>
        <w:shd w:val="clear" w:color="auto" w:fill="FFFFFF"/>
        <w:rPr>
          <w:rFonts w:ascii="Segoe UI" w:eastAsia="Times New Roman" w:hAnsi="Segoe UI" w:cs="Segoe UI"/>
          <w:color w:val="4D8055"/>
        </w:rPr>
      </w:pPr>
      <w:r w:rsidRPr="00A71D3B">
        <w:rPr>
          <w:rFonts w:ascii="Segoe UI" w:eastAsia="Times New Roman" w:hAnsi="Segoe UI" w:cs="Segoe UI"/>
          <w:color w:val="212121"/>
        </w:rPr>
        <w:t>Ott J, Egarter C, Aguilera A.</w:t>
      </w:r>
      <w:r w:rsidRPr="00A71D3B">
        <w:rPr>
          <w:rFonts w:ascii="Segoe UI" w:eastAsia="Times New Roman" w:hAnsi="Segoe UI" w:cs="Segoe UI"/>
          <w:color w:val="4D8055"/>
        </w:rPr>
        <w:t>Gynecol Endocrinol. 2021 Dec 20:1-9. doi: 10.1080/09513590.2021.2016692. Online ahead of print.PMID: 34927507</w:t>
      </w:r>
    </w:p>
    <w:p w14:paraId="5A9770A6" w14:textId="77777777" w:rsidR="000D737B" w:rsidRDefault="000D737B" w:rsidP="000D737B">
      <w:pPr>
        <w:pStyle w:val="Heading2"/>
        <w:shd w:val="clear" w:color="auto" w:fill="FFFFFF"/>
        <w:rPr>
          <w:rFonts w:ascii="Merriweather" w:hAnsi="Merriweather"/>
          <w:color w:val="212121"/>
        </w:rPr>
      </w:pPr>
      <w:r>
        <w:rPr>
          <w:rFonts w:ascii="Merriweather" w:hAnsi="Merriweather"/>
          <w:color w:val="212121"/>
        </w:rPr>
        <w:t>Abstract</w:t>
      </w:r>
    </w:p>
    <w:p w14:paraId="7EC97B13" w14:textId="77777777" w:rsidR="000D737B" w:rsidRDefault="000D737B" w:rsidP="000D737B">
      <w:pPr>
        <w:pStyle w:val="NormalWeb"/>
        <w:shd w:val="clear" w:color="auto" w:fill="FFFFFF"/>
        <w:rPr>
          <w:rFonts w:ascii="Segoe UI" w:hAnsi="Segoe UI" w:cs="Segoe UI"/>
          <w:color w:val="212121"/>
        </w:rPr>
      </w:pPr>
      <w:r>
        <w:rPr>
          <w:rStyle w:val="Strong"/>
          <w:rFonts w:ascii="Segoe UI" w:hAnsi="Segoe UI" w:cs="Segoe UI"/>
          <w:color w:val="212121"/>
        </w:rPr>
        <w:t>Objective: </w:t>
      </w:r>
      <w:r>
        <w:rPr>
          <w:rFonts w:ascii="Segoe UI" w:hAnsi="Segoe UI" w:cs="Segoe UI"/>
          <w:color w:val="212121"/>
        </w:rPr>
        <w:t>To provide an evidence-based safety and tolerability overview of dydrogesterone under various progesterone-deficient conditions as a commemoration of its role in managing women's reproductive health over the past 60 years.</w:t>
      </w:r>
    </w:p>
    <w:p w14:paraId="128381E4" w14:textId="77777777" w:rsidR="000D737B" w:rsidRDefault="000D737B" w:rsidP="000D737B">
      <w:pPr>
        <w:pStyle w:val="NormalWeb"/>
        <w:shd w:val="clear" w:color="auto" w:fill="FFFFFF"/>
        <w:rPr>
          <w:rFonts w:ascii="Segoe UI" w:hAnsi="Segoe UI" w:cs="Segoe UI"/>
          <w:color w:val="212121"/>
        </w:rPr>
      </w:pPr>
      <w:r>
        <w:rPr>
          <w:rStyle w:val="Strong"/>
          <w:rFonts w:ascii="Segoe UI" w:hAnsi="Segoe UI" w:cs="Segoe UI"/>
          <w:color w:val="212121"/>
        </w:rPr>
        <w:t>Methods: </w:t>
      </w:r>
      <w:r>
        <w:rPr>
          <w:rFonts w:ascii="Segoe UI" w:hAnsi="Segoe UI" w:cs="Segoe UI"/>
          <w:color w:val="212121"/>
        </w:rPr>
        <w:t>To identify relevant publications, we used a semi-systematic approach, which included performing a structured search through the PubMed and Cochrane central databases as well as an unstructured search for publications published in English from 2010 onward with human clinical data.</w:t>
      </w:r>
    </w:p>
    <w:p w14:paraId="5A1AB037" w14:textId="77777777" w:rsidR="000D737B" w:rsidRDefault="000D737B" w:rsidP="000D737B">
      <w:pPr>
        <w:pStyle w:val="NormalWeb"/>
        <w:shd w:val="clear" w:color="auto" w:fill="FFFFFF"/>
        <w:rPr>
          <w:rFonts w:ascii="Segoe UI" w:hAnsi="Segoe UI" w:cs="Segoe UI"/>
          <w:color w:val="212121"/>
        </w:rPr>
      </w:pPr>
      <w:r>
        <w:rPr>
          <w:rStyle w:val="Strong"/>
          <w:rFonts w:ascii="Segoe UI" w:hAnsi="Segoe UI" w:cs="Segoe UI"/>
          <w:color w:val="212121"/>
        </w:rPr>
        <w:t>Results: </w:t>
      </w:r>
      <w:r>
        <w:rPr>
          <w:rFonts w:ascii="Segoe UI" w:hAnsi="Segoe UI" w:cs="Segoe UI"/>
          <w:color w:val="212121"/>
        </w:rPr>
        <w:t>A total of 32 relevant clinical studies were identified. Results were reported in the context of overall adverse events (AEs) and segregated according to various progesterone-deficient conditions. AEs concerning breasts (breast cancer risk), the endometrium (endometrial cancer risk), venous thromboembolism risk, and cardiovascular risk were found to be minimal when dydrogesterone was used as part of a menopausal hormone therapy regimen lasting ≤260 weeks. Vagina-related AEs, such as bleeding, discharge, irritation, and difficult coitus, occurred less frequently with dydrogesterone when used as luteal phase support in the context of assisted reproductive techniques (ARTs). However, other common AEs, such as headache, dizziness, abdominal pain, flatulence, and nausea, occurred more frequently with dydrogesterone. No maternal complications or congenital anomalies could be linked to dydrogesterone usage during ARTs or during early pregnancy to prevent recurrent miscarriages. Studies on dydrogesterone in endometriosis and premenstrual syndrome remain scarce.</w:t>
      </w:r>
    </w:p>
    <w:p w14:paraId="4CE70426" w14:textId="77777777" w:rsidR="000D737B" w:rsidRDefault="000D737B" w:rsidP="000D737B">
      <w:pPr>
        <w:pStyle w:val="NormalWeb"/>
        <w:shd w:val="clear" w:color="auto" w:fill="FFFFFF"/>
        <w:rPr>
          <w:rFonts w:ascii="Segoe UI" w:hAnsi="Segoe UI" w:cs="Segoe UI"/>
          <w:color w:val="212121"/>
        </w:rPr>
      </w:pPr>
      <w:r>
        <w:rPr>
          <w:rStyle w:val="Strong"/>
          <w:rFonts w:ascii="Segoe UI" w:hAnsi="Segoe UI" w:cs="Segoe UI"/>
          <w:color w:val="212121"/>
        </w:rPr>
        <w:t>Conclusions: </w:t>
      </w:r>
      <w:r>
        <w:rPr>
          <w:rFonts w:ascii="Segoe UI" w:hAnsi="Segoe UI" w:cs="Segoe UI"/>
          <w:color w:val="212121"/>
        </w:rPr>
        <w:t>Post-approval, dydrogesterone has displayed a favorable safety and tolerability profile during its 60-year use, which is reassuring, considering its important role in managing women's reproductive health.</w:t>
      </w:r>
    </w:p>
    <w:p w14:paraId="5596FB4C" w14:textId="77777777" w:rsidR="000D737B" w:rsidRDefault="000D737B" w:rsidP="000D737B">
      <w:pPr>
        <w:pStyle w:val="NormalWeb"/>
        <w:shd w:val="clear" w:color="auto" w:fill="FFFFFF"/>
        <w:rPr>
          <w:rFonts w:ascii="Segoe UI" w:hAnsi="Segoe UI" w:cs="Segoe UI"/>
          <w:color w:val="212121"/>
        </w:rPr>
      </w:pPr>
      <w:r>
        <w:rPr>
          <w:rStyle w:val="Strong"/>
          <w:rFonts w:ascii="Segoe UI" w:hAnsi="Segoe UI" w:cs="Segoe UI"/>
          <w:color w:val="212121"/>
        </w:rPr>
        <w:t>Keywords: </w:t>
      </w:r>
      <w:r>
        <w:rPr>
          <w:rFonts w:ascii="Segoe UI" w:hAnsi="Segoe UI" w:cs="Segoe UI"/>
          <w:color w:val="212121"/>
        </w:rPr>
        <w:t>Assisted reproductive technology; cycle regularization; dydrogesterone; endometriosis; habitual abortion; luteal phase support; menopausal hormone therapy; menstrual bleeding.</w:t>
      </w:r>
    </w:p>
    <w:p w14:paraId="774BA078"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7B"/>
    <w:rsid w:val="000103D1"/>
    <w:rsid w:val="00016D92"/>
    <w:rsid w:val="0004655A"/>
    <w:rsid w:val="00085D85"/>
    <w:rsid w:val="000911C6"/>
    <w:rsid w:val="0009365F"/>
    <w:rsid w:val="000D737B"/>
    <w:rsid w:val="00165008"/>
    <w:rsid w:val="00364F02"/>
    <w:rsid w:val="00523748"/>
    <w:rsid w:val="005E1977"/>
    <w:rsid w:val="00627A86"/>
    <w:rsid w:val="006419FC"/>
    <w:rsid w:val="00772B32"/>
    <w:rsid w:val="007A061C"/>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E1833E3"/>
  <w15:chartTrackingRefBased/>
  <w15:docId w15:val="{52D4A9A2-A3B7-7149-9CAC-8F27CC9E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7B"/>
  </w:style>
  <w:style w:type="paragraph" w:styleId="Heading2">
    <w:name w:val="heading 2"/>
    <w:basedOn w:val="Normal"/>
    <w:link w:val="Heading2Char"/>
    <w:uiPriority w:val="9"/>
    <w:qFormat/>
    <w:rsid w:val="000D73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37B"/>
    <w:rPr>
      <w:rFonts w:ascii="Times New Roman" w:eastAsia="Times New Roman" w:hAnsi="Times New Roman" w:cs="Times New Roman"/>
      <w:b/>
      <w:bCs/>
      <w:sz w:val="36"/>
      <w:szCs w:val="36"/>
    </w:rPr>
  </w:style>
  <w:style w:type="paragraph" w:styleId="NormalWeb">
    <w:name w:val="Normal (Web)"/>
    <w:basedOn w:val="Normal"/>
    <w:uiPriority w:val="99"/>
    <w:unhideWhenUsed/>
    <w:rsid w:val="000D73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737B"/>
    <w:rPr>
      <w:b/>
      <w:bCs/>
    </w:rPr>
  </w:style>
  <w:style w:type="paragraph" w:styleId="ListParagraph">
    <w:name w:val="List Paragraph"/>
    <w:basedOn w:val="Normal"/>
    <w:uiPriority w:val="34"/>
    <w:qFormat/>
    <w:rsid w:val="000D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9275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2022-01-24T08:48:00Z</dcterms:created>
  <dcterms:modified xsi:type="dcterms:W3CDTF">2022-01-24T08:48:00Z</dcterms:modified>
</cp:coreProperties>
</file>