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537B4" w14:textId="77777777" w:rsidR="00524164" w:rsidRPr="00A71D3B" w:rsidRDefault="00524164" w:rsidP="00524164">
      <w:pPr>
        <w:shd w:val="clear" w:color="auto" w:fill="FFFFFF"/>
        <w:rPr>
          <w:rFonts w:ascii="Segoe UI" w:eastAsia="Times New Roman" w:hAnsi="Segoe UI" w:cs="Segoe UI"/>
          <w:color w:val="212121"/>
        </w:rPr>
      </w:pPr>
      <w:r w:rsidRPr="00A71D3B">
        <w:rPr>
          <w:rFonts w:ascii="Segoe UI" w:eastAsia="Times New Roman" w:hAnsi="Segoe UI" w:cs="Segoe UI"/>
          <w:color w:val="212121"/>
        </w:rPr>
        <w:t> </w:t>
      </w:r>
    </w:p>
    <w:p w14:paraId="6546DF9C" w14:textId="77777777" w:rsidR="00524164" w:rsidRPr="00324AA1" w:rsidRDefault="00524164" w:rsidP="00524164">
      <w:pPr>
        <w:shd w:val="clear" w:color="auto" w:fill="FFFFFF"/>
        <w:rPr>
          <w:rFonts w:ascii="Segoe UI" w:eastAsia="Times New Roman" w:hAnsi="Segoe UI" w:cs="Segoe UI"/>
          <w:color w:val="212121"/>
        </w:rPr>
      </w:pPr>
      <w:r>
        <w:rPr>
          <w:lang w:val="tr-TR"/>
        </w:rPr>
        <w:t>3-</w:t>
      </w:r>
      <w:hyperlink r:id="rId4" w:history="1">
        <w:r w:rsidRPr="00324AA1">
          <w:rPr>
            <w:rFonts w:ascii="Segoe UI" w:eastAsia="Times New Roman" w:hAnsi="Segoe UI" w:cs="Segoe UI"/>
            <w:color w:val="0071BC"/>
          </w:rPr>
          <w:t>Assessment of Quality of Life, Sexual Quality of Life, and Pain Symptoms in Deep Infiltrating </w:t>
        </w:r>
        <w:r w:rsidRPr="00324AA1">
          <w:rPr>
            <w:rFonts w:ascii="Segoe UI" w:eastAsia="Times New Roman" w:hAnsi="Segoe UI" w:cs="Segoe UI"/>
            <w:b/>
            <w:bCs/>
            <w:color w:val="0071BC"/>
          </w:rPr>
          <w:t>Endometriosis</w:t>
        </w:r>
        <w:r w:rsidRPr="00324AA1">
          <w:rPr>
            <w:rFonts w:ascii="Segoe UI" w:eastAsia="Times New Roman" w:hAnsi="Segoe UI" w:cs="Segoe UI"/>
            <w:color w:val="0071BC"/>
          </w:rPr>
          <w:t> Patients With or Without Associated Adenomyosis and the Influence of a Flexible Extended Combined Oral Contraceptive Regimen: Results of a Prospective, Observational Study.</w:t>
        </w:r>
      </w:hyperlink>
    </w:p>
    <w:p w14:paraId="6AFD6119" w14:textId="77777777" w:rsidR="00524164" w:rsidRPr="00A71D3B" w:rsidRDefault="00524164" w:rsidP="00524164">
      <w:pPr>
        <w:shd w:val="clear" w:color="auto" w:fill="FFFFFF"/>
        <w:rPr>
          <w:rFonts w:ascii="Segoe UI" w:eastAsia="Times New Roman" w:hAnsi="Segoe UI" w:cs="Segoe UI"/>
          <w:color w:val="4D8055"/>
        </w:rPr>
      </w:pPr>
      <w:r w:rsidRPr="00A71D3B">
        <w:rPr>
          <w:rFonts w:ascii="Segoe UI" w:eastAsia="Times New Roman" w:hAnsi="Segoe UI" w:cs="Segoe UI"/>
          <w:color w:val="212121"/>
        </w:rPr>
        <w:t>Alcalde AM, Martínez-Zamora MÁ, Gracia M, Ros C, Rius M, Castelo-Branco C, Carmona F.</w:t>
      </w:r>
      <w:r w:rsidRPr="00A71D3B">
        <w:rPr>
          <w:rFonts w:ascii="Segoe UI" w:eastAsia="Times New Roman" w:hAnsi="Segoe UI" w:cs="Segoe UI"/>
          <w:color w:val="4D8055"/>
        </w:rPr>
        <w:t>J Sex Med. 2021 Dec 30:S1743-6095(21)00791-8. doi: 10.1016/j.jsxm.2021.11.015. Online ahead of print.PMID: 34974988</w:t>
      </w:r>
    </w:p>
    <w:p w14:paraId="1582FED6" w14:textId="77777777" w:rsidR="00524164" w:rsidRPr="00A71D3B" w:rsidRDefault="00524164" w:rsidP="00524164">
      <w:pPr>
        <w:shd w:val="clear" w:color="auto" w:fill="FFFFFF"/>
        <w:spacing w:before="100" w:beforeAutospacing="1" w:after="100" w:afterAutospacing="1"/>
        <w:outlineLvl w:val="1"/>
        <w:rPr>
          <w:rFonts w:ascii="Merriweather" w:eastAsia="Times New Roman" w:hAnsi="Merriweather" w:cs="Times New Roman"/>
          <w:b/>
          <w:bCs/>
          <w:color w:val="212121"/>
          <w:sz w:val="36"/>
          <w:szCs w:val="36"/>
        </w:rPr>
      </w:pPr>
      <w:r w:rsidRPr="00A71D3B">
        <w:rPr>
          <w:rFonts w:ascii="Merriweather" w:eastAsia="Times New Roman" w:hAnsi="Merriweather" w:cs="Times New Roman"/>
          <w:b/>
          <w:bCs/>
          <w:color w:val="212121"/>
          <w:sz w:val="36"/>
          <w:szCs w:val="36"/>
        </w:rPr>
        <w:t>Abstract</w:t>
      </w:r>
    </w:p>
    <w:p w14:paraId="5D7709DE" w14:textId="77777777" w:rsidR="00524164" w:rsidRPr="00A71D3B" w:rsidRDefault="00524164" w:rsidP="00524164">
      <w:pPr>
        <w:shd w:val="clear" w:color="auto" w:fill="FFFFFF"/>
        <w:spacing w:before="100" w:beforeAutospacing="1" w:after="100" w:afterAutospacing="1"/>
        <w:rPr>
          <w:rFonts w:ascii="Segoe UI" w:eastAsia="Times New Roman" w:hAnsi="Segoe UI" w:cs="Segoe UI"/>
          <w:color w:val="212121"/>
        </w:rPr>
      </w:pPr>
      <w:r w:rsidRPr="00A71D3B">
        <w:rPr>
          <w:rFonts w:ascii="Segoe UI" w:eastAsia="Times New Roman" w:hAnsi="Segoe UI" w:cs="Segoe UI"/>
          <w:b/>
          <w:bCs/>
          <w:color w:val="212121"/>
        </w:rPr>
        <w:t>Background: </w:t>
      </w:r>
      <w:r w:rsidRPr="00A71D3B">
        <w:rPr>
          <w:rFonts w:ascii="Segoe UI" w:eastAsia="Times New Roman" w:hAnsi="Segoe UI" w:cs="Segoe UI"/>
          <w:color w:val="212121"/>
        </w:rPr>
        <w:t>The quality of life of women with deep infiltrating endometriosis (DIE) is impaired and may improve with combined oral contraceptives (COCs).</w:t>
      </w:r>
    </w:p>
    <w:p w14:paraId="3AC27758" w14:textId="77777777" w:rsidR="00524164" w:rsidRPr="00A71D3B" w:rsidRDefault="00524164" w:rsidP="00524164">
      <w:pPr>
        <w:shd w:val="clear" w:color="auto" w:fill="FFFFFF"/>
        <w:spacing w:before="100" w:beforeAutospacing="1" w:after="100" w:afterAutospacing="1"/>
        <w:rPr>
          <w:rFonts w:ascii="Segoe UI" w:eastAsia="Times New Roman" w:hAnsi="Segoe UI" w:cs="Segoe UI"/>
          <w:color w:val="212121"/>
        </w:rPr>
      </w:pPr>
      <w:r w:rsidRPr="00A71D3B">
        <w:rPr>
          <w:rFonts w:ascii="Segoe UI" w:eastAsia="Times New Roman" w:hAnsi="Segoe UI" w:cs="Segoe UI"/>
          <w:b/>
          <w:bCs/>
          <w:color w:val="212121"/>
        </w:rPr>
        <w:t>Aim: </w:t>
      </w:r>
      <w:r w:rsidRPr="00A71D3B">
        <w:rPr>
          <w:rFonts w:ascii="Segoe UI" w:eastAsia="Times New Roman" w:hAnsi="Segoe UI" w:cs="Segoe UI"/>
          <w:color w:val="212121"/>
        </w:rPr>
        <w:t>To compare the overall and sexual quality of life of patients diagnosed with DIE with or without associated adenomyosis (AD) with that of healthy controls and determine the influence of a COC containing 2 mg dienogest/30 μg ethinyl estradiol on these aspects.</w:t>
      </w:r>
    </w:p>
    <w:p w14:paraId="516941CF" w14:textId="77777777" w:rsidR="00524164" w:rsidRPr="00A71D3B" w:rsidRDefault="00524164" w:rsidP="00524164">
      <w:pPr>
        <w:shd w:val="clear" w:color="auto" w:fill="FFFFFF"/>
        <w:spacing w:before="100" w:beforeAutospacing="1" w:after="100" w:afterAutospacing="1"/>
        <w:rPr>
          <w:rFonts w:ascii="Segoe UI" w:eastAsia="Times New Roman" w:hAnsi="Segoe UI" w:cs="Segoe UI"/>
          <w:color w:val="212121"/>
        </w:rPr>
      </w:pPr>
      <w:r w:rsidRPr="00A71D3B">
        <w:rPr>
          <w:rFonts w:ascii="Segoe UI" w:eastAsia="Times New Roman" w:hAnsi="Segoe UI" w:cs="Segoe UI"/>
          <w:b/>
          <w:bCs/>
          <w:color w:val="212121"/>
        </w:rPr>
        <w:t>Methods: </w:t>
      </w:r>
      <w:r w:rsidRPr="00A71D3B">
        <w:rPr>
          <w:rFonts w:ascii="Segoe UI" w:eastAsia="Times New Roman" w:hAnsi="Segoe UI" w:cs="Segoe UI"/>
          <w:color w:val="212121"/>
        </w:rPr>
        <w:t>We enrolled 42 women diagnosed with DIE; 31 diagnosed with DIE + AD by transvaginal ultrasound, and 39 non-AD/DIE controls. All patients were interviewed regarding pain symptoms (dysmenorrhea, dyspareunia, dyschezia, and dysuria), heavy menstrual bleeding using the Pictorial Blood Loss Assessment Chart, quality of life using the Short Form-36 questionnaire (SF-36), and sexual quality of life using the Sexual Quality of Life-Female questionnaire (SQOL-F) and the Brief Profile of Female Sexual Function (B-PFSF) before starting COCs and after 12 months of treatment.</w:t>
      </w:r>
    </w:p>
    <w:p w14:paraId="4E0E900B" w14:textId="77777777" w:rsidR="00524164" w:rsidRPr="00A71D3B" w:rsidRDefault="00524164" w:rsidP="00524164">
      <w:pPr>
        <w:shd w:val="clear" w:color="auto" w:fill="FFFFFF"/>
        <w:spacing w:before="100" w:beforeAutospacing="1" w:after="100" w:afterAutospacing="1"/>
        <w:rPr>
          <w:rFonts w:ascii="Segoe UI" w:eastAsia="Times New Roman" w:hAnsi="Segoe UI" w:cs="Segoe UI"/>
          <w:color w:val="212121"/>
        </w:rPr>
      </w:pPr>
      <w:r w:rsidRPr="00A71D3B">
        <w:rPr>
          <w:rFonts w:ascii="Segoe UI" w:eastAsia="Times New Roman" w:hAnsi="Segoe UI" w:cs="Segoe UI"/>
          <w:b/>
          <w:bCs/>
          <w:color w:val="212121"/>
        </w:rPr>
        <w:t>Outcomes: </w:t>
      </w:r>
      <w:r w:rsidRPr="00A71D3B">
        <w:rPr>
          <w:rFonts w:ascii="Segoe UI" w:eastAsia="Times New Roman" w:hAnsi="Segoe UI" w:cs="Segoe UI"/>
          <w:color w:val="212121"/>
        </w:rPr>
        <w:t>There was significant improvement in overall and sexual quality of life after treatment in DIE and DIE + AD patients.</w:t>
      </w:r>
    </w:p>
    <w:p w14:paraId="1FB8DAC7" w14:textId="77777777" w:rsidR="00524164" w:rsidRPr="00A71D3B" w:rsidRDefault="00524164" w:rsidP="00524164">
      <w:pPr>
        <w:shd w:val="clear" w:color="auto" w:fill="FFFFFF"/>
        <w:spacing w:before="100" w:beforeAutospacing="1" w:after="100" w:afterAutospacing="1"/>
        <w:rPr>
          <w:rFonts w:ascii="Segoe UI" w:eastAsia="Times New Roman" w:hAnsi="Segoe UI" w:cs="Segoe UI"/>
          <w:color w:val="212121"/>
        </w:rPr>
      </w:pPr>
      <w:r w:rsidRPr="00A71D3B">
        <w:rPr>
          <w:rFonts w:ascii="Segoe UI" w:eastAsia="Times New Roman" w:hAnsi="Segoe UI" w:cs="Segoe UI"/>
          <w:b/>
          <w:bCs/>
          <w:color w:val="212121"/>
        </w:rPr>
        <w:t>Results: </w:t>
      </w:r>
      <w:r w:rsidRPr="00A71D3B">
        <w:rPr>
          <w:rFonts w:ascii="Segoe UI" w:eastAsia="Times New Roman" w:hAnsi="Segoe UI" w:cs="Segoe UI"/>
          <w:color w:val="212121"/>
        </w:rPr>
        <w:t>Non-AD/DIE controls showed significantly higher scores in the B-PFSF, the SQOL-F and the SF-36 questionnaires (P &lt; .05) at baseline versus the other groups. DIE + AD patients showed poorer quality of sexual life and greater intensity in pain symptoms compared with DIE patients. After 12 months of treatment, there was a significant improvement in overall and sexual quality of life in the DIE and DIE + AD groups, with improvement in sexual quality of life being slightly greater in DIE + AD patients compared with DIE patients. Pain symptoms also decreased in both groups.</w:t>
      </w:r>
    </w:p>
    <w:p w14:paraId="11ADC389" w14:textId="77777777" w:rsidR="00524164" w:rsidRPr="00A71D3B" w:rsidRDefault="00524164" w:rsidP="00524164">
      <w:pPr>
        <w:shd w:val="clear" w:color="auto" w:fill="FFFFFF"/>
        <w:spacing w:before="100" w:beforeAutospacing="1" w:after="100" w:afterAutospacing="1"/>
        <w:rPr>
          <w:rFonts w:ascii="Segoe UI" w:eastAsia="Times New Roman" w:hAnsi="Segoe UI" w:cs="Segoe UI"/>
          <w:color w:val="212121"/>
        </w:rPr>
      </w:pPr>
      <w:r w:rsidRPr="00A71D3B">
        <w:rPr>
          <w:rFonts w:ascii="Segoe UI" w:eastAsia="Times New Roman" w:hAnsi="Segoe UI" w:cs="Segoe UI"/>
          <w:b/>
          <w:bCs/>
          <w:color w:val="212121"/>
        </w:rPr>
        <w:t>Clinical implications: </w:t>
      </w:r>
      <w:r w:rsidRPr="00A71D3B">
        <w:rPr>
          <w:rFonts w:ascii="Segoe UI" w:eastAsia="Times New Roman" w:hAnsi="Segoe UI" w:cs="Segoe UI"/>
          <w:color w:val="212121"/>
        </w:rPr>
        <w:t>Patients with DIE + AD showed greater impairment in overall and sexual quality of life compared with patients with isolated DIE which seems to improve with a COC containing 2 mg dienogest/30 μg ethinyl estradiol.</w:t>
      </w:r>
    </w:p>
    <w:p w14:paraId="52331DEF" w14:textId="77777777" w:rsidR="00524164" w:rsidRPr="00A71D3B" w:rsidRDefault="00524164" w:rsidP="00524164">
      <w:pPr>
        <w:shd w:val="clear" w:color="auto" w:fill="FFFFFF"/>
        <w:spacing w:before="100" w:beforeAutospacing="1" w:after="100" w:afterAutospacing="1"/>
        <w:rPr>
          <w:rFonts w:ascii="Segoe UI" w:eastAsia="Times New Roman" w:hAnsi="Segoe UI" w:cs="Segoe UI"/>
          <w:color w:val="212121"/>
        </w:rPr>
      </w:pPr>
      <w:r w:rsidRPr="00A71D3B">
        <w:rPr>
          <w:rFonts w:ascii="Segoe UI" w:eastAsia="Times New Roman" w:hAnsi="Segoe UI" w:cs="Segoe UI"/>
          <w:b/>
          <w:bCs/>
          <w:color w:val="212121"/>
        </w:rPr>
        <w:lastRenderedPageBreak/>
        <w:t>Strengths &amp; limitations: </w:t>
      </w:r>
      <w:r w:rsidRPr="00A71D3B">
        <w:rPr>
          <w:rFonts w:ascii="Segoe UI" w:eastAsia="Times New Roman" w:hAnsi="Segoe UI" w:cs="Segoe UI"/>
          <w:color w:val="212121"/>
        </w:rPr>
        <w:t>Strengths include the long-term follow up, assessment of the impact of two associated conditions, and administration of the same COC in all patients. Limitations include the relatively small sample size, and the fact that we did not assess the effectiveness of a flexible extended COC regimen containing 2 mg dienogest/30 μg ethinyl estradiol since the groups were different at baseline.</w:t>
      </w:r>
    </w:p>
    <w:p w14:paraId="0E103863" w14:textId="77777777" w:rsidR="00524164" w:rsidRPr="00A71D3B" w:rsidRDefault="00524164" w:rsidP="00524164">
      <w:pPr>
        <w:shd w:val="clear" w:color="auto" w:fill="FFFFFF"/>
        <w:spacing w:before="100" w:beforeAutospacing="1" w:after="100" w:afterAutospacing="1"/>
        <w:rPr>
          <w:rFonts w:ascii="Segoe UI" w:eastAsia="Times New Roman" w:hAnsi="Segoe UI" w:cs="Segoe UI"/>
          <w:color w:val="212121"/>
        </w:rPr>
      </w:pPr>
      <w:r w:rsidRPr="00A71D3B">
        <w:rPr>
          <w:rFonts w:ascii="Segoe UI" w:eastAsia="Times New Roman" w:hAnsi="Segoe UI" w:cs="Segoe UI"/>
          <w:b/>
          <w:bCs/>
          <w:color w:val="212121"/>
        </w:rPr>
        <w:t>Conclusion: </w:t>
      </w:r>
      <w:r w:rsidRPr="00A71D3B">
        <w:rPr>
          <w:rFonts w:ascii="Segoe UI" w:eastAsia="Times New Roman" w:hAnsi="Segoe UI" w:cs="Segoe UI"/>
          <w:color w:val="212121"/>
        </w:rPr>
        <w:t>Patients diagnosed with DIE with or without AD have a decreased quality of life which may improve with a COC containing 2 mg dienogest/30 μg ethinyl estradiol. Further research is needed to confirm our results. Alcalde AM, Martínez-Zamora MÁ, Gracia M, et al. Assessment of Quality of Life, Sexual Quality of Life, and Pain Symptoms in Deep Infiltrating Endometriosis Patients With or Without Associated Adenomyosis and the Influence of a Flexible Extended Combined Oral Contraceptive Regimen: Results of a Prospective, Observational Study. J Sex Med 2021;XX:XXX-XXX.</w:t>
      </w:r>
    </w:p>
    <w:p w14:paraId="1F4FEA49" w14:textId="77777777" w:rsidR="00524164" w:rsidRPr="00A71D3B" w:rsidRDefault="00524164" w:rsidP="00524164">
      <w:pPr>
        <w:shd w:val="clear" w:color="auto" w:fill="FFFFFF"/>
        <w:spacing w:before="100" w:beforeAutospacing="1" w:after="100" w:afterAutospacing="1"/>
        <w:rPr>
          <w:rFonts w:ascii="Segoe UI" w:eastAsia="Times New Roman" w:hAnsi="Segoe UI" w:cs="Segoe UI"/>
          <w:color w:val="212121"/>
        </w:rPr>
      </w:pPr>
      <w:r w:rsidRPr="00A71D3B">
        <w:rPr>
          <w:rFonts w:ascii="Segoe UI" w:eastAsia="Times New Roman" w:hAnsi="Segoe UI" w:cs="Segoe UI"/>
          <w:b/>
          <w:bCs/>
          <w:color w:val="212121"/>
        </w:rPr>
        <w:t>Keywords: </w:t>
      </w:r>
      <w:r w:rsidRPr="00A71D3B">
        <w:rPr>
          <w:rFonts w:ascii="Segoe UI" w:eastAsia="Times New Roman" w:hAnsi="Segoe UI" w:cs="Segoe UI"/>
          <w:color w:val="212121"/>
        </w:rPr>
        <w:t>Adenomyosis; Combined Oral Contraceptive; Endometriosis; Quality of Life; Sexual Quality of Life.</w:t>
      </w:r>
    </w:p>
    <w:p w14:paraId="57DBAE76" w14:textId="77777777" w:rsidR="00852BED" w:rsidRDefault="00852BED"/>
    <w:sectPr w:rsidR="00852BE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erriweather">
    <w:panose1 w:val="00000500000000000000"/>
    <w:charset w:val="4D"/>
    <w:family w:val="auto"/>
    <w:pitch w:val="variable"/>
    <w:sig w:usb0="20000207" w:usb1="00000002"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164"/>
    <w:rsid w:val="000103D1"/>
    <w:rsid w:val="00016D92"/>
    <w:rsid w:val="0004655A"/>
    <w:rsid w:val="00085D85"/>
    <w:rsid w:val="000911C6"/>
    <w:rsid w:val="0009365F"/>
    <w:rsid w:val="00165008"/>
    <w:rsid w:val="00364F02"/>
    <w:rsid w:val="00523748"/>
    <w:rsid w:val="00524164"/>
    <w:rsid w:val="005E1977"/>
    <w:rsid w:val="00627A86"/>
    <w:rsid w:val="006419FC"/>
    <w:rsid w:val="00772B32"/>
    <w:rsid w:val="007A061C"/>
    <w:rsid w:val="007F31DC"/>
    <w:rsid w:val="00852BED"/>
    <w:rsid w:val="009F33F4"/>
    <w:rsid w:val="00A16744"/>
    <w:rsid w:val="00A80B37"/>
    <w:rsid w:val="00BC5051"/>
    <w:rsid w:val="00BC6850"/>
    <w:rsid w:val="00C275F8"/>
    <w:rsid w:val="00CA0ECB"/>
    <w:rsid w:val="00CA1A8E"/>
    <w:rsid w:val="00CB574B"/>
    <w:rsid w:val="00CB5B2F"/>
    <w:rsid w:val="00CE09C4"/>
    <w:rsid w:val="00D86657"/>
    <w:rsid w:val="00DD3612"/>
    <w:rsid w:val="00F473E1"/>
    <w:rsid w:val="00F639C4"/>
    <w:rsid w:val="00F7651B"/>
    <w:rsid w:val="00F76DEF"/>
    <w:rsid w:val="00FE1ED6"/>
  </w:rsids>
  <m:mathPr>
    <m:mathFont m:val="Cambria Math"/>
    <m:brkBin m:val="before"/>
    <m:brkBinSub m:val="--"/>
    <m:smallFrac m:val="0"/>
    <m:dispDef/>
    <m:lMargin m:val="0"/>
    <m:rMargin m:val="0"/>
    <m:defJc m:val="centerGroup"/>
    <m:wrapIndent m:val="1440"/>
    <m:intLim m:val="subSup"/>
    <m:naryLim m:val="undOvr"/>
  </m:mathPr>
  <w:themeFontLang w:val="en-TR"/>
  <w:clrSchemeMapping w:bg1="light1" w:t1="dark1" w:bg2="light2" w:t2="dark2" w:accent1="accent1" w:accent2="accent2" w:accent3="accent3" w:accent4="accent4" w:accent5="accent5" w:accent6="accent6" w:hyperlink="hyperlink" w:followedHyperlink="followedHyperlink"/>
  <w:decimalSymbol w:val=","/>
  <w:listSeparator w:val=","/>
  <w14:docId w14:val="39A5AA5C"/>
  <w15:chartTrackingRefBased/>
  <w15:docId w15:val="{0623D454-8ABE-8E48-8A1E-5A615DAFF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41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ubmed.ncbi.nlm.nih.gov/3497498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537</Words>
  <Characters>3064</Characters>
  <Application>Microsoft Office Word</Application>
  <DocSecurity>0</DocSecurity>
  <Lines>25</Lines>
  <Paragraphs>7</Paragraphs>
  <ScaleCrop>false</ScaleCrop>
  <Company/>
  <LinksUpToDate>false</LinksUpToDate>
  <CharactersWithSpaces>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Ezgi Darıcı</dc:creator>
  <cp:keywords/>
  <dc:description/>
  <cp:lastModifiedBy>Ezgi Darıcı</cp:lastModifiedBy>
  <cp:revision>1</cp:revision>
  <dcterms:created xsi:type="dcterms:W3CDTF">2022-01-24T08:35:00Z</dcterms:created>
  <dcterms:modified xsi:type="dcterms:W3CDTF">2022-01-24T08:36:00Z</dcterms:modified>
</cp:coreProperties>
</file>