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6A88D" w14:textId="77777777" w:rsidR="00A1081C" w:rsidRPr="00A71D3B" w:rsidRDefault="00A1081C" w:rsidP="00A1081C">
      <w:pPr>
        <w:shd w:val="clear" w:color="auto" w:fill="FFFFFF"/>
        <w:rPr>
          <w:rFonts w:ascii="Segoe UI" w:eastAsia="Times New Roman" w:hAnsi="Segoe UI" w:cs="Segoe UI"/>
          <w:color w:val="212121"/>
        </w:rPr>
      </w:pPr>
    </w:p>
    <w:p w14:paraId="22BCE850" w14:textId="77777777" w:rsidR="00A1081C" w:rsidRPr="00416FBF" w:rsidRDefault="00A1081C" w:rsidP="00A1081C">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A model-based analysis to guide gonadotropin-releasing hormone receptor antagonist use for management of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w:t>
        </w:r>
      </w:hyperlink>
    </w:p>
    <w:p w14:paraId="44291CA7" w14:textId="77777777" w:rsidR="00A1081C" w:rsidRPr="00A71D3B" w:rsidRDefault="00A1081C" w:rsidP="00A1081C">
      <w:pPr>
        <w:shd w:val="clear" w:color="auto" w:fill="FFFFFF"/>
        <w:rPr>
          <w:rFonts w:ascii="Segoe UI" w:eastAsia="Times New Roman" w:hAnsi="Segoe UI" w:cs="Segoe UI"/>
          <w:color w:val="4D8055"/>
        </w:rPr>
      </w:pPr>
      <w:r w:rsidRPr="00A71D3B">
        <w:rPr>
          <w:rFonts w:ascii="Segoe UI" w:eastAsia="Times New Roman" w:hAnsi="Segoe UI" w:cs="Segoe UI"/>
          <w:color w:val="212121"/>
        </w:rPr>
        <w:t>Pohl O, Baron K, Riggs M, French J, Garcia R, Gotteland JP.</w:t>
      </w:r>
      <w:r w:rsidRPr="00A71D3B">
        <w:rPr>
          <w:rFonts w:ascii="Segoe UI" w:eastAsia="Times New Roman" w:hAnsi="Segoe UI" w:cs="Segoe UI"/>
          <w:color w:val="4D8055"/>
        </w:rPr>
        <w:t>Br J Clin Pharmacol. 2021 Dec 13. doi: 10.1111/bcp.15171. Online ahead of print.PMID: 34904270</w:t>
      </w:r>
    </w:p>
    <w:p w14:paraId="783D1977" w14:textId="77777777" w:rsidR="00A1081C" w:rsidRDefault="00A1081C" w:rsidP="00A1081C">
      <w:pPr>
        <w:shd w:val="clear" w:color="auto" w:fill="FFFFFF"/>
        <w:rPr>
          <w:rFonts w:ascii="Segoe UI" w:eastAsia="Times New Roman" w:hAnsi="Segoe UI" w:cs="Segoe UI"/>
          <w:color w:val="212121"/>
        </w:rPr>
      </w:pPr>
    </w:p>
    <w:p w14:paraId="5B06F286" w14:textId="77777777" w:rsidR="00A1081C" w:rsidRDefault="00A1081C" w:rsidP="00A1081C">
      <w:pPr>
        <w:pStyle w:val="Heading2"/>
        <w:shd w:val="clear" w:color="auto" w:fill="FFFFFF"/>
        <w:rPr>
          <w:rFonts w:ascii="Merriweather" w:hAnsi="Merriweather"/>
          <w:color w:val="212121"/>
        </w:rPr>
      </w:pPr>
      <w:r>
        <w:rPr>
          <w:rFonts w:ascii="Merriweather" w:hAnsi="Merriweather"/>
          <w:color w:val="212121"/>
        </w:rPr>
        <w:t>Abstract</w:t>
      </w:r>
    </w:p>
    <w:p w14:paraId="3492E81B" w14:textId="77777777" w:rsidR="00A1081C" w:rsidRDefault="00A1081C" w:rsidP="00A1081C">
      <w:pPr>
        <w:pStyle w:val="NormalWeb"/>
        <w:shd w:val="clear" w:color="auto" w:fill="FFFFFF"/>
        <w:rPr>
          <w:rFonts w:ascii="Segoe UI" w:hAnsi="Segoe UI" w:cs="Segoe UI"/>
          <w:color w:val="212121"/>
        </w:rPr>
      </w:pPr>
      <w:r>
        <w:rPr>
          <w:rStyle w:val="Strong"/>
          <w:rFonts w:ascii="Segoe UI" w:hAnsi="Segoe UI" w:cs="Segoe UI"/>
          <w:color w:val="212121"/>
        </w:rPr>
        <w:t>Aim: </w:t>
      </w:r>
      <w:r>
        <w:rPr>
          <w:rFonts w:ascii="Segoe UI" w:hAnsi="Segoe UI" w:cs="Segoe UI"/>
          <w:color w:val="212121"/>
        </w:rPr>
        <w:t>To identify linzagolix doses, an oral GnRH receptor antagonist, that effectively lower E2 to relieve endometriosis-related pelvic pain without compromising bone health.</w:t>
      </w:r>
    </w:p>
    <w:p w14:paraId="02DF1D18" w14:textId="77777777" w:rsidR="00A1081C" w:rsidRDefault="00A1081C" w:rsidP="00A1081C">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Integrated statistical, pharmacokinetic-pharmacodynamic, and systems pharmacology models were developed from Phase 1 and 2 clinical trial data in healthy volunteers and patients, receiving linzagolix 25 to 200 mg daily or placebo, and analyzed simultaneously. The main outcome measures were pelvic pain scores for dysmenorrhea (DYS), non-menstrual pelvic pain (NMPP), uterine bleeding, and lumbar spine bone mineral density (BMD).</w:t>
      </w:r>
    </w:p>
    <w:p w14:paraId="446BC78F" w14:textId="77777777" w:rsidR="00A1081C" w:rsidRDefault="00A1081C" w:rsidP="00A1081C">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Linzagolix pharmacokinetics were described by a two-compartment model with sequential zero/first-order absorption process (CL/F: 0.422 L/hr). E2 changes over time were well described as a function of linzagolix 24-hour AUC (AUC</w:t>
      </w:r>
      <w:r>
        <w:rPr>
          <w:rFonts w:ascii="Segoe UI" w:hAnsi="Segoe UI" w:cs="Segoe UI"/>
          <w:color w:val="212121"/>
          <w:sz w:val="18"/>
          <w:szCs w:val="18"/>
          <w:vertAlign w:val="subscript"/>
        </w:rPr>
        <w:t>50</w:t>
      </w:r>
      <w:r>
        <w:rPr>
          <w:rFonts w:ascii="Segoe UI" w:hAnsi="Segoe UI" w:cs="Segoe UI"/>
          <w:color w:val="212121"/>
        </w:rPr>
        <w:t> : 1.68 x10</w:t>
      </w:r>
      <w:r>
        <w:rPr>
          <w:rFonts w:ascii="Segoe UI" w:hAnsi="Segoe UI" w:cs="Segoe UI"/>
          <w:color w:val="212121"/>
          <w:sz w:val="18"/>
          <w:szCs w:val="18"/>
          <w:vertAlign w:val="superscript"/>
        </w:rPr>
        <w:t>5</w:t>
      </w:r>
      <w:r>
        <w:rPr>
          <w:rFonts w:ascii="Segoe UI" w:hAnsi="Segoe UI" w:cs="Segoe UI"/>
          <w:color w:val="212121"/>
        </w:rPr>
        <w:t> ng*hr/mL). For a Caucasian reference patient, a change in E2 from 50-20 pg/mL at 24 weeks increased the odds of relief of DYS 1.33 fold and NMPP 1.07 fold (95% CI: 1.22-1.47 and 1.02-1.12, respectively) and decreased bleeding days by 1.55 (95% CI: 0.35-0.46 and 1.39-1.72, respectively). A previously validated quantitative systems pharmacology BMD model was adjusted to the clinical data. The mean week 24 LS BMD change from baseline ranged from -0.092% in the 50 mg dose, -1.30% in the 100 mg dose group, and -2.67% in the 200 mg dose group.</w:t>
      </w:r>
    </w:p>
    <w:p w14:paraId="75D3885F" w14:textId="77777777" w:rsidR="00A1081C" w:rsidRDefault="00A1081C" w:rsidP="00A1081C">
      <w:pPr>
        <w:pStyle w:val="NormalWeb"/>
        <w:shd w:val="clear" w:color="auto" w:fill="FFFFFF"/>
        <w:rPr>
          <w:rFonts w:ascii="Segoe UI" w:hAnsi="Segoe UI" w:cs="Segoe UI"/>
          <w:color w:val="212121"/>
        </w:rPr>
      </w:pPr>
      <w:r>
        <w:rPr>
          <w:rStyle w:val="Strong"/>
          <w:rFonts w:ascii="Segoe UI" w:hAnsi="Segoe UI" w:cs="Segoe UI"/>
          <w:color w:val="212121"/>
        </w:rPr>
        <w:t>Discussion: </w:t>
      </w:r>
      <w:r>
        <w:rPr>
          <w:rFonts w:ascii="Segoe UI" w:hAnsi="Segoe UI" w:cs="Segoe UI"/>
          <w:color w:val="212121"/>
        </w:rPr>
        <w:t>The previously-reported E2 target range (20-50 pg/mL) to balance efficacy and safety endpoints was confirmed. Linzagolix once daily doses between 75-125 mg daily were expected to meet endometriosis-associated pain efficacy and BMD loss targets in Caucasian patients.</w:t>
      </w:r>
    </w:p>
    <w:p w14:paraId="4F23AA09" w14:textId="77777777" w:rsidR="00A1081C" w:rsidRDefault="00A1081C" w:rsidP="00A1081C">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GnRH antagonist; endometriosis; linzagolix.</w:t>
      </w:r>
    </w:p>
    <w:p w14:paraId="5435764B"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81C"/>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081C"/>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A459522"/>
  <w15:chartTrackingRefBased/>
  <w15:docId w15:val="{661F3B06-175F-284B-8504-ADD5EE841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81C"/>
  </w:style>
  <w:style w:type="paragraph" w:styleId="Heading2">
    <w:name w:val="heading 2"/>
    <w:basedOn w:val="Normal"/>
    <w:link w:val="Heading2Char"/>
    <w:uiPriority w:val="9"/>
    <w:qFormat/>
    <w:rsid w:val="00A1081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1081C"/>
    <w:rPr>
      <w:rFonts w:ascii="Times New Roman" w:eastAsia="Times New Roman" w:hAnsi="Times New Roman" w:cs="Times New Roman"/>
      <w:b/>
      <w:bCs/>
      <w:sz w:val="36"/>
      <w:szCs w:val="36"/>
    </w:rPr>
  </w:style>
  <w:style w:type="paragraph" w:styleId="NormalWeb">
    <w:name w:val="Normal (Web)"/>
    <w:basedOn w:val="Normal"/>
    <w:uiPriority w:val="99"/>
    <w:unhideWhenUsed/>
    <w:rsid w:val="00A1081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A1081C"/>
    <w:rPr>
      <w:b/>
      <w:bCs/>
    </w:rPr>
  </w:style>
  <w:style w:type="paragraph" w:styleId="ListParagraph">
    <w:name w:val="List Paragraph"/>
    <w:basedOn w:val="Normal"/>
    <w:uiPriority w:val="34"/>
    <w:qFormat/>
    <w:rsid w:val="00A108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0427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311</Words>
  <Characters>1775</Characters>
  <Application>Microsoft Office Word</Application>
  <DocSecurity>0</DocSecurity>
  <Lines>14</Lines>
  <Paragraphs>4</Paragraphs>
  <ScaleCrop>false</ScaleCrop>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2022-01-24T08:51:00Z</dcterms:created>
  <dcterms:modified xsi:type="dcterms:W3CDTF">2022-01-24T08:52:00Z</dcterms:modified>
</cp:coreProperties>
</file>