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6FF2CF" w14:textId="77777777" w:rsidR="00130D6D" w:rsidRPr="00416FBF" w:rsidRDefault="00130D6D" w:rsidP="00130D6D">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The Effect of Letrozole Combined with Dydrogesterone for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 in China: A Meta-Analysis.</w:t>
        </w:r>
      </w:hyperlink>
    </w:p>
    <w:p w14:paraId="14C2CC57" w14:textId="77777777" w:rsidR="00130D6D" w:rsidRPr="00A71D3B" w:rsidRDefault="00130D6D" w:rsidP="00130D6D">
      <w:pPr>
        <w:shd w:val="clear" w:color="auto" w:fill="FFFFFF"/>
        <w:rPr>
          <w:rFonts w:ascii="Segoe UI" w:eastAsia="Times New Roman" w:hAnsi="Segoe UI" w:cs="Segoe UI"/>
          <w:color w:val="4D8055"/>
        </w:rPr>
      </w:pPr>
      <w:r w:rsidRPr="00A71D3B">
        <w:rPr>
          <w:rFonts w:ascii="Segoe UI" w:eastAsia="Times New Roman" w:hAnsi="Segoe UI" w:cs="Segoe UI"/>
          <w:color w:val="212121"/>
        </w:rPr>
        <w:t>Sun S, Zhang H, Zhong P, Xu Z.</w:t>
      </w:r>
      <w:r w:rsidRPr="00A71D3B">
        <w:rPr>
          <w:rFonts w:ascii="Segoe UI" w:eastAsia="Times New Roman" w:hAnsi="Segoe UI" w:cs="Segoe UI"/>
          <w:color w:val="4D8055"/>
        </w:rPr>
        <w:t>Biomed Res Int. 2021 Dec 2;2021:9946060. doi: 10.1155/2021/9946060. eCollection 2021.PMID: 34901283 </w:t>
      </w:r>
      <w:r w:rsidRPr="00A71D3B">
        <w:rPr>
          <w:rFonts w:ascii="Segoe UI" w:eastAsia="Times New Roman" w:hAnsi="Segoe UI" w:cs="Segoe UI"/>
          <w:b/>
          <w:bCs/>
          <w:color w:val="C05600"/>
        </w:rPr>
        <w:t>Free PMC article.</w:t>
      </w:r>
      <w:r w:rsidRPr="00A71D3B">
        <w:rPr>
          <w:rFonts w:ascii="Segoe UI" w:eastAsia="Times New Roman" w:hAnsi="Segoe UI" w:cs="Segoe UI"/>
          <w:color w:val="4D8055"/>
        </w:rPr>
        <w:t> Review.</w:t>
      </w:r>
    </w:p>
    <w:p w14:paraId="1025D09E" w14:textId="77777777" w:rsidR="00130D6D" w:rsidRDefault="00130D6D" w:rsidP="00130D6D">
      <w:pPr>
        <w:shd w:val="clear" w:color="auto" w:fill="FFFFFF"/>
        <w:rPr>
          <w:rFonts w:ascii="Segoe UI" w:eastAsia="Times New Roman" w:hAnsi="Segoe UI" w:cs="Segoe UI"/>
          <w:color w:val="212121"/>
        </w:rPr>
      </w:pPr>
    </w:p>
    <w:p w14:paraId="15C0FAEB" w14:textId="77777777" w:rsidR="00130D6D" w:rsidRDefault="00130D6D" w:rsidP="00130D6D">
      <w:pPr>
        <w:pStyle w:val="Heading2"/>
        <w:shd w:val="clear" w:color="auto" w:fill="FFFFFF"/>
        <w:rPr>
          <w:rFonts w:ascii="Merriweather" w:hAnsi="Merriweather" w:cs="Segoe UI"/>
          <w:color w:val="212121"/>
        </w:rPr>
      </w:pPr>
      <w:r>
        <w:rPr>
          <w:rFonts w:ascii="Merriweather" w:hAnsi="Merriweather" w:cs="Segoe UI"/>
          <w:color w:val="212121"/>
        </w:rPr>
        <w:t>Abstract</w:t>
      </w:r>
    </w:p>
    <w:p w14:paraId="2766C1B8" w14:textId="77777777" w:rsidR="00130D6D" w:rsidRDefault="00130D6D" w:rsidP="00130D6D">
      <w:pPr>
        <w:pStyle w:val="NormalWeb"/>
        <w:shd w:val="clear" w:color="auto" w:fill="FFFFFF"/>
        <w:rPr>
          <w:rFonts w:ascii="Segoe UI" w:hAnsi="Segoe UI" w:cs="Segoe UI"/>
          <w:color w:val="212121"/>
        </w:rPr>
      </w:pPr>
      <w:r>
        <w:rPr>
          <w:rStyle w:val="Strong"/>
          <w:rFonts w:ascii="Segoe UI" w:hAnsi="Segoe UI" w:cs="Segoe UI"/>
          <w:color w:val="212121"/>
        </w:rPr>
        <w:t>Purpose: </w:t>
      </w:r>
      <w:r>
        <w:rPr>
          <w:rFonts w:ascii="Segoe UI" w:hAnsi="Segoe UI" w:cs="Segoe UI"/>
          <w:color w:val="212121"/>
        </w:rPr>
        <w:t>To discuss the effects of dydrogesterone combined with letrozole on the effectiveness, sex hormone levels, and serological indicators in patients with endometriosis. This study is registered with PROSPERO (CRD42020213172).</w:t>
      </w:r>
    </w:p>
    <w:p w14:paraId="2C227A19" w14:textId="77777777" w:rsidR="00130D6D" w:rsidRDefault="00130D6D" w:rsidP="00130D6D">
      <w:pPr>
        <w:pStyle w:val="NormalWeb"/>
        <w:shd w:val="clear" w:color="auto" w:fill="FFFFFF"/>
        <w:rPr>
          <w:rFonts w:ascii="Segoe UI" w:hAnsi="Segoe UI" w:cs="Segoe UI"/>
          <w:color w:val="212121"/>
        </w:rPr>
      </w:pPr>
      <w:r>
        <w:rPr>
          <w:rStyle w:val="Strong"/>
          <w:rFonts w:ascii="Segoe UI" w:hAnsi="Segoe UI" w:cs="Segoe UI"/>
          <w:color w:val="212121"/>
        </w:rPr>
        <w:t>Methods: </w:t>
      </w:r>
      <w:r>
        <w:rPr>
          <w:rFonts w:ascii="Segoe UI" w:hAnsi="Segoe UI" w:cs="Segoe UI"/>
          <w:color w:val="212121"/>
        </w:rPr>
        <w:t>We searched relevant randomized controlled trials (RCTs) through PubMed, Cochrane Library, China National Knowledge Infrastructure (CNKI), Wanfang, and VIP Database. The standardized mean differences (SMDs), the mean differences (MDs), or odds ratios (ORs) with their 95% confidence intervals (95% CIs) were computed to be outcome indicators, including total effectiveness, Vascular Endothelial Growth Factor (VEGF) level, Carbohydrate Antigen 125 (CA125) level, Follicle-Stimulating Hormone (FSH) level, Luteinizing Hormone (LH) level, estrogen (E2) level, progesterone (P) level, interleukin-6 (IL-6) level, and tumor necrosis factor-a (TNF-a) level.</w:t>
      </w:r>
    </w:p>
    <w:p w14:paraId="41B2EB25" w14:textId="77777777" w:rsidR="00130D6D" w:rsidRDefault="00130D6D" w:rsidP="00130D6D">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A total of 19 RCTs involving 1,591 patients were included in this study. Our results showed that letrozole combined with dydrogesterone can significantly reduce the levels of VEGF (SMD -2.23, 95% CI -2.39 to -2.07; </w:t>
      </w:r>
      <w:r>
        <w:rPr>
          <w:rFonts w:ascii="Segoe UI" w:hAnsi="Segoe UI" w:cs="Segoe UI"/>
          <w:i/>
          <w:iCs/>
          <w:color w:val="212121"/>
        </w:rPr>
        <w:t>p</w:t>
      </w:r>
      <w:r>
        <w:rPr>
          <w:rFonts w:ascii="Segoe UI" w:hAnsi="Segoe UI" w:cs="Segoe UI"/>
          <w:color w:val="212121"/>
        </w:rPr>
        <w:t> &lt; 0.00001), CA125 (MD -10.53, 95% CI -11.19 to -9.88; </w:t>
      </w:r>
      <w:r>
        <w:rPr>
          <w:rFonts w:ascii="Segoe UI" w:hAnsi="Segoe UI" w:cs="Segoe UI"/>
          <w:i/>
          <w:iCs/>
          <w:color w:val="212121"/>
        </w:rPr>
        <w:t>p</w:t>
      </w:r>
      <w:r>
        <w:rPr>
          <w:rFonts w:ascii="Segoe UI" w:hAnsi="Segoe UI" w:cs="Segoe UI"/>
          <w:color w:val="212121"/>
        </w:rPr>
        <w:t> &lt; 0.00001), E2 (SMD -1.64, 95% CI -1.81 to -1.47; </w:t>
      </w:r>
      <w:r>
        <w:rPr>
          <w:rFonts w:ascii="Segoe UI" w:hAnsi="Segoe UI" w:cs="Segoe UI"/>
          <w:i/>
          <w:iCs/>
          <w:color w:val="212121"/>
        </w:rPr>
        <w:t>p</w:t>
      </w:r>
      <w:r>
        <w:rPr>
          <w:rFonts w:ascii="Segoe UI" w:hAnsi="Segoe UI" w:cs="Segoe UI"/>
          <w:color w:val="212121"/>
        </w:rPr>
        <w:t> &lt; 0.00001), P (MD -5.11, 95% CI -6.26 to -3.96; </w:t>
      </w:r>
      <w:r>
        <w:rPr>
          <w:rFonts w:ascii="Segoe UI" w:hAnsi="Segoe UI" w:cs="Segoe UI"/>
          <w:i/>
          <w:iCs/>
          <w:color w:val="212121"/>
        </w:rPr>
        <w:t>p</w:t>
      </w:r>
      <w:r>
        <w:rPr>
          <w:rFonts w:ascii="Segoe UI" w:hAnsi="Segoe UI" w:cs="Segoe UI"/>
          <w:color w:val="212121"/>
        </w:rPr>
        <w:t> &lt; 0.00001), IL-6 (MD -4.41, 95% CI -5.16 to -3.67; </w:t>
      </w:r>
      <w:r>
        <w:rPr>
          <w:rFonts w:ascii="Segoe UI" w:hAnsi="Segoe UI" w:cs="Segoe UI"/>
          <w:i/>
          <w:iCs/>
          <w:color w:val="212121"/>
        </w:rPr>
        <w:t>p</w:t>
      </w:r>
      <w:r>
        <w:rPr>
          <w:rFonts w:ascii="Segoe UI" w:hAnsi="Segoe UI" w:cs="Segoe UI"/>
          <w:color w:val="212121"/>
        </w:rPr>
        <w:t> &lt; 0.00001), and TNF-a (MD -5.67, 95% CI -6.34 to -5.00; </w:t>
      </w:r>
      <w:r>
        <w:rPr>
          <w:rFonts w:ascii="Segoe UI" w:hAnsi="Segoe UI" w:cs="Segoe UI"/>
          <w:i/>
          <w:iCs/>
          <w:color w:val="212121"/>
        </w:rPr>
        <w:t>p</w:t>
      </w:r>
      <w:r>
        <w:rPr>
          <w:rFonts w:ascii="Segoe UI" w:hAnsi="Segoe UI" w:cs="Segoe UI"/>
          <w:color w:val="212121"/>
        </w:rPr>
        <w:t> &lt; 0.00001) in patients with endometriosis compared with the control group. In addition, the results indicated that total effectiveness was significantly higher in the experiment group (OR 6.21, 95% CI 4.17 to 9.24; </w:t>
      </w:r>
      <w:r>
        <w:rPr>
          <w:rFonts w:ascii="Segoe UI" w:hAnsi="Segoe UI" w:cs="Segoe UI"/>
          <w:i/>
          <w:iCs/>
          <w:color w:val="212121"/>
        </w:rPr>
        <w:t>p</w:t>
      </w:r>
      <w:r>
        <w:rPr>
          <w:rFonts w:ascii="Segoe UI" w:hAnsi="Segoe UI" w:cs="Segoe UI"/>
          <w:color w:val="212121"/>
        </w:rPr>
        <w:t> &lt; 0.00001) compared to the control. However, there was no significant difference between FSH and LH levels in both groups (</w:t>
      </w:r>
      <w:r>
        <w:rPr>
          <w:rFonts w:ascii="Segoe UI" w:hAnsi="Segoe UI" w:cs="Segoe UI"/>
          <w:i/>
          <w:iCs/>
          <w:color w:val="212121"/>
        </w:rPr>
        <w:t>p</w:t>
      </w:r>
      <w:r>
        <w:rPr>
          <w:rFonts w:ascii="Segoe UI" w:hAnsi="Segoe UI" w:cs="Segoe UI"/>
          <w:color w:val="212121"/>
        </w:rPr>
        <w:t> &gt; 0.05).</w:t>
      </w:r>
    </w:p>
    <w:p w14:paraId="07F3D106" w14:textId="77777777" w:rsidR="00130D6D" w:rsidRDefault="00130D6D" w:rsidP="00130D6D">
      <w:pPr>
        <w:pStyle w:val="NormalWeb"/>
        <w:shd w:val="clear" w:color="auto" w:fill="FFFFFF"/>
        <w:rPr>
          <w:rFonts w:ascii="Segoe UI" w:hAnsi="Segoe UI" w:cs="Segoe UI"/>
          <w:color w:val="212121"/>
        </w:rPr>
      </w:pPr>
      <w:r>
        <w:rPr>
          <w:rStyle w:val="Strong"/>
          <w:rFonts w:ascii="Segoe UI" w:hAnsi="Segoe UI" w:cs="Segoe UI"/>
          <w:color w:val="212121"/>
        </w:rPr>
        <w:t>Conclusion: </w:t>
      </w:r>
      <w:r>
        <w:rPr>
          <w:rFonts w:ascii="Segoe UI" w:hAnsi="Segoe UI" w:cs="Segoe UI"/>
          <w:color w:val="212121"/>
        </w:rPr>
        <w:t>This combination therapy can effectively decrease the levels of VEGF, CA125, E2, P, IL-6, and TNF-a and increase the total effectiveness when comparing with the control group.</w:t>
      </w:r>
    </w:p>
    <w:p w14:paraId="2FA679D8" w14:textId="77777777" w:rsidR="00130D6D" w:rsidRDefault="00130D6D" w:rsidP="00130D6D">
      <w:pPr>
        <w:pStyle w:val="copyright"/>
        <w:shd w:val="clear" w:color="auto" w:fill="FFFFFF"/>
        <w:rPr>
          <w:rFonts w:ascii="Segoe UI" w:hAnsi="Segoe UI" w:cs="Segoe UI"/>
          <w:color w:val="212121"/>
        </w:rPr>
      </w:pPr>
      <w:r>
        <w:rPr>
          <w:rFonts w:ascii="Segoe UI" w:hAnsi="Segoe UI" w:cs="Segoe UI"/>
          <w:color w:val="212121"/>
        </w:rPr>
        <w:t>Copyright © 2021 Shumei Sun et al.</w:t>
      </w:r>
    </w:p>
    <w:p w14:paraId="209D22D2"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D6D"/>
    <w:rsid w:val="000103D1"/>
    <w:rsid w:val="00016D92"/>
    <w:rsid w:val="0004655A"/>
    <w:rsid w:val="00085D85"/>
    <w:rsid w:val="000911C6"/>
    <w:rsid w:val="0009365F"/>
    <w:rsid w:val="00130D6D"/>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4CCDC528"/>
  <w15:chartTrackingRefBased/>
  <w15:docId w15:val="{1520556B-6574-D346-8143-8F3B12CAA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0D6D"/>
  </w:style>
  <w:style w:type="paragraph" w:styleId="Heading2">
    <w:name w:val="heading 2"/>
    <w:basedOn w:val="Normal"/>
    <w:link w:val="Heading2Char"/>
    <w:uiPriority w:val="9"/>
    <w:qFormat/>
    <w:rsid w:val="00130D6D"/>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30D6D"/>
    <w:rPr>
      <w:rFonts w:ascii="Times New Roman" w:eastAsia="Times New Roman" w:hAnsi="Times New Roman" w:cs="Times New Roman"/>
      <w:b/>
      <w:bCs/>
      <w:sz w:val="36"/>
      <w:szCs w:val="36"/>
    </w:rPr>
  </w:style>
  <w:style w:type="paragraph" w:styleId="NormalWeb">
    <w:name w:val="Normal (Web)"/>
    <w:basedOn w:val="Normal"/>
    <w:uiPriority w:val="99"/>
    <w:unhideWhenUsed/>
    <w:rsid w:val="00130D6D"/>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130D6D"/>
    <w:rPr>
      <w:b/>
      <w:bCs/>
    </w:rPr>
  </w:style>
  <w:style w:type="paragraph" w:customStyle="1" w:styleId="copyright">
    <w:name w:val="copyright"/>
    <w:basedOn w:val="Normal"/>
    <w:rsid w:val="00130D6D"/>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130D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0128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341</Words>
  <Characters>1945</Characters>
  <Application>Microsoft Office Word</Application>
  <DocSecurity>0</DocSecurity>
  <Lines>16</Lines>
  <Paragraphs>4</Paragraphs>
  <ScaleCrop>false</ScaleCrop>
  <Company/>
  <LinksUpToDate>false</LinksUpToDate>
  <CharactersWithSpaces>2282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2022-01-24T08:52:00Z</dcterms:created>
  <dcterms:modified xsi:type="dcterms:W3CDTF">2022-01-24T08:52:00Z</dcterms:modified>
</cp:coreProperties>
</file>