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8D181" w14:textId="77777777" w:rsidR="00181155" w:rsidRDefault="00181155" w:rsidP="00181155">
      <w:pPr>
        <w:shd w:val="clear" w:color="auto" w:fill="FFFFFF"/>
        <w:rPr>
          <w:rFonts w:ascii="Segoe UI" w:hAnsi="Segoe UI" w:cs="Segoe UI"/>
          <w:color w:val="212121"/>
        </w:rPr>
      </w:pPr>
      <w:r w:rsidRPr="00A71D3B">
        <w:rPr>
          <w:rFonts w:ascii="Segoe UI" w:eastAsia="Times New Roman" w:hAnsi="Segoe UI" w:cs="Segoe UI"/>
          <w:color w:val="212121"/>
        </w:rPr>
        <w:t> </w:t>
      </w:r>
    </w:p>
    <w:p w14:paraId="6209FA48" w14:textId="77777777" w:rsidR="00181155" w:rsidRDefault="00181155" w:rsidP="00181155">
      <w:pPr>
        <w:shd w:val="clear" w:color="auto" w:fill="FFFFFF"/>
        <w:rPr>
          <w:rFonts w:ascii="Segoe UI" w:hAnsi="Segoe UI" w:cs="Segoe UI"/>
          <w:color w:val="212121"/>
        </w:rPr>
      </w:pPr>
      <w:r w:rsidRPr="00A71D3B">
        <w:rPr>
          <w:rFonts w:ascii="Segoe UI" w:eastAsia="Times New Roman" w:hAnsi="Segoe UI" w:cs="Segoe UI"/>
          <w:color w:val="212121"/>
        </w:rPr>
        <w:t> </w:t>
      </w:r>
    </w:p>
    <w:p w14:paraId="33D393BE" w14:textId="77777777" w:rsidR="00181155" w:rsidRPr="00D32215" w:rsidRDefault="00181155" w:rsidP="00181155">
      <w:pPr>
        <w:shd w:val="clear" w:color="auto" w:fill="FFFFFF"/>
        <w:rPr>
          <w:rFonts w:ascii="Times New Roman" w:eastAsia="Times New Roman" w:hAnsi="Times New Roman" w:cs="Times New Roman"/>
        </w:rPr>
      </w:pPr>
      <w:r w:rsidRPr="00A71D3B">
        <w:rPr>
          <w:rFonts w:ascii="Segoe UI" w:eastAsia="Times New Roman" w:hAnsi="Segoe UI" w:cs="Segoe UI"/>
          <w:color w:val="212121"/>
        </w:rPr>
        <w:t> </w:t>
      </w:r>
    </w:p>
    <w:p w14:paraId="56D7B5F7" w14:textId="77777777" w:rsidR="00181155" w:rsidRPr="00A71D3B" w:rsidRDefault="00181155" w:rsidP="00181155">
      <w:pPr>
        <w:shd w:val="clear" w:color="auto" w:fill="FFFFFF"/>
        <w:rPr>
          <w:rFonts w:ascii="Segoe UI" w:eastAsia="Times New Roman" w:hAnsi="Segoe UI" w:cs="Segoe UI"/>
          <w:color w:val="212121"/>
        </w:rPr>
      </w:pPr>
      <w:r w:rsidRPr="00A71D3B">
        <w:rPr>
          <w:rFonts w:ascii="Segoe UI" w:eastAsia="Times New Roman" w:hAnsi="Segoe UI" w:cs="Segoe UI"/>
          <w:color w:val="212121"/>
        </w:rPr>
        <w:t> </w:t>
      </w:r>
    </w:p>
    <w:p w14:paraId="2C6CABAF" w14:textId="77777777" w:rsidR="00181155" w:rsidRPr="00416FBF" w:rsidRDefault="00181155" w:rsidP="00181155">
      <w:pPr>
        <w:pStyle w:val="ListParagraph"/>
        <w:numPr>
          <w:ilvl w:val="0"/>
          <w:numId w:val="1"/>
        </w:numPr>
        <w:shd w:val="clear" w:color="auto" w:fill="FFFFFF"/>
        <w:rPr>
          <w:rFonts w:ascii="Segoe UI" w:eastAsia="Times New Roman" w:hAnsi="Segoe UI" w:cs="Segoe UI"/>
          <w:color w:val="212121"/>
        </w:rPr>
      </w:pPr>
      <w:hyperlink r:id="rId5" w:history="1">
        <w:r w:rsidRPr="00416FBF">
          <w:rPr>
            <w:rFonts w:ascii="Segoe UI" w:eastAsia="Times New Roman" w:hAnsi="Segoe UI" w:cs="Segoe UI"/>
            <w:color w:val="0071BC"/>
          </w:rPr>
          <w:t>Relugolix, an oral gonadotropin-releasing hormone receptor antagonist, reduces </w:t>
        </w:r>
        <w:r w:rsidRPr="00416FBF">
          <w:rPr>
            <w:rFonts w:ascii="Segoe UI" w:eastAsia="Times New Roman" w:hAnsi="Segoe UI" w:cs="Segoe UI"/>
            <w:b/>
            <w:bCs/>
            <w:color w:val="0071BC"/>
          </w:rPr>
          <w:t>endometriosis</w:t>
        </w:r>
        <w:r w:rsidRPr="00416FBF">
          <w:rPr>
            <w:rFonts w:ascii="Segoe UI" w:eastAsia="Times New Roman" w:hAnsi="Segoe UI" w:cs="Segoe UI"/>
            <w:color w:val="0071BC"/>
          </w:rPr>
          <w:t>-associated pain compared with leuprorelin in Japanese women: a phase 3, randomized, double-blind, noninferiority study.</w:t>
        </w:r>
      </w:hyperlink>
    </w:p>
    <w:p w14:paraId="60032214" w14:textId="77777777" w:rsidR="00181155" w:rsidRPr="00A71D3B" w:rsidRDefault="00181155" w:rsidP="00181155">
      <w:pPr>
        <w:shd w:val="clear" w:color="auto" w:fill="FFFFFF"/>
        <w:rPr>
          <w:rFonts w:ascii="Segoe UI" w:eastAsia="Times New Roman" w:hAnsi="Segoe UI" w:cs="Segoe UI"/>
          <w:color w:val="4D8055"/>
        </w:rPr>
      </w:pPr>
      <w:r w:rsidRPr="00A71D3B">
        <w:rPr>
          <w:rFonts w:ascii="Segoe UI" w:eastAsia="Times New Roman" w:hAnsi="Segoe UI" w:cs="Segoe UI"/>
          <w:color w:val="212121"/>
        </w:rPr>
        <w:t>Harada T, Osuga Y, Suzuki Y, Fujisawa M, Fukui M, Kitawaki J.</w:t>
      </w:r>
      <w:r w:rsidRPr="00A71D3B">
        <w:rPr>
          <w:rFonts w:ascii="Segoe UI" w:eastAsia="Times New Roman" w:hAnsi="Segoe UI" w:cs="Segoe UI"/>
          <w:color w:val="4D8055"/>
        </w:rPr>
        <w:t>Fertil Steril. 2021 Dec 8:S0015-0282(21)02214-7. doi: 10.1016/j.fertnstert.2021.11.013. Online ahead of print.PMID: 34895700 </w:t>
      </w:r>
      <w:r w:rsidRPr="00A71D3B">
        <w:rPr>
          <w:rFonts w:ascii="Segoe UI" w:eastAsia="Times New Roman" w:hAnsi="Segoe UI" w:cs="Segoe UI"/>
          <w:b/>
          <w:bCs/>
          <w:color w:val="C05600"/>
        </w:rPr>
        <w:t>Free article.</w:t>
      </w:r>
    </w:p>
    <w:p w14:paraId="733F3A5F" w14:textId="77777777" w:rsidR="00181155" w:rsidRDefault="00181155" w:rsidP="00181155">
      <w:pPr>
        <w:shd w:val="clear" w:color="auto" w:fill="FFFFFF"/>
        <w:rPr>
          <w:rFonts w:ascii="Segoe UI" w:eastAsia="Times New Roman" w:hAnsi="Segoe UI" w:cs="Segoe UI"/>
          <w:color w:val="212121"/>
        </w:rPr>
      </w:pPr>
    </w:p>
    <w:p w14:paraId="5BAF37EF" w14:textId="77777777" w:rsidR="00181155" w:rsidRDefault="00181155" w:rsidP="00181155">
      <w:pPr>
        <w:pStyle w:val="Heading2"/>
        <w:shd w:val="clear" w:color="auto" w:fill="FFFFFF"/>
        <w:rPr>
          <w:rFonts w:ascii="Merriweather" w:hAnsi="Merriweather"/>
          <w:color w:val="212121"/>
        </w:rPr>
      </w:pPr>
      <w:r>
        <w:rPr>
          <w:rFonts w:ascii="Merriweather" w:hAnsi="Merriweather"/>
          <w:color w:val="212121"/>
        </w:rPr>
        <w:t>Abstract</w:t>
      </w:r>
    </w:p>
    <w:p w14:paraId="6C01BB8A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Objective: </w:t>
      </w:r>
      <w:r>
        <w:rPr>
          <w:rFonts w:ascii="Segoe UI" w:hAnsi="Segoe UI" w:cs="Segoe UI"/>
          <w:color w:val="212121"/>
        </w:rPr>
        <w:t>To evaluate the efficacy and safety of 40-mg relugolix (REL) compared with those of leuprorelin (LEU) in women with endometriosis-associated pain.</w:t>
      </w:r>
    </w:p>
    <w:p w14:paraId="198496AB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Design: </w:t>
      </w:r>
      <w:r>
        <w:rPr>
          <w:rFonts w:ascii="Segoe UI" w:hAnsi="Segoe UI" w:cs="Segoe UI"/>
          <w:color w:val="212121"/>
        </w:rPr>
        <w:t>Phase 3, multicenter, randomized, double-blind, double-dummy, active-controlled study in Japanese patients.</w:t>
      </w:r>
    </w:p>
    <w:p w14:paraId="0E94E994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Setting: </w:t>
      </w:r>
      <w:r>
        <w:rPr>
          <w:rFonts w:ascii="Segoe UI" w:hAnsi="Segoe UI" w:cs="Segoe UI"/>
          <w:color w:val="212121"/>
        </w:rPr>
        <w:t>Hospitals and clinics.</w:t>
      </w:r>
    </w:p>
    <w:p w14:paraId="01D182E0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Patient(s): </w:t>
      </w:r>
      <w:r>
        <w:rPr>
          <w:rFonts w:ascii="Segoe UI" w:hAnsi="Segoe UI" w:cs="Segoe UI"/>
          <w:color w:val="212121"/>
        </w:rPr>
        <w:t>Women aged ≥20 years with regular menstrual cycles (25-38 days) experiencing endometriosis or ovarian endometrioma and reporting pelvic pain.</w:t>
      </w:r>
    </w:p>
    <w:p w14:paraId="5D967003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Intervention(s): </w:t>
      </w:r>
      <w:r>
        <w:rPr>
          <w:rFonts w:ascii="Segoe UI" w:hAnsi="Segoe UI" w:cs="Segoe UI"/>
          <w:color w:val="212121"/>
        </w:rPr>
        <w:t>In the REL group, 40 mg of REL was orally administered once a day for 24 weeks. In the LEU group, 3.75 or 1.88 mg of LEU was subcutaneously injected every 4 weeks for 24 weeks.</w:t>
      </w:r>
    </w:p>
    <w:p w14:paraId="6F541C79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Main outcome measure(s): </w:t>
      </w:r>
      <w:r>
        <w:rPr>
          <w:rFonts w:ascii="Segoe UI" w:hAnsi="Segoe UI" w:cs="Segoe UI"/>
          <w:color w:val="212121"/>
        </w:rPr>
        <w:t>The primary endpoint was the change in the maximum visual analog scale score for pelvic pain from baseline until 28 days before the end of treatment.</w:t>
      </w:r>
    </w:p>
    <w:p w14:paraId="08D548B1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Result(s): </w:t>
      </w:r>
      <w:r>
        <w:rPr>
          <w:rFonts w:ascii="Segoe UI" w:hAnsi="Segoe UI" w:cs="Segoe UI"/>
          <w:color w:val="212121"/>
        </w:rPr>
        <w:t>Changes in the maximum visual analog scale score were -52.6 ± 1.3 for REL and -57.5 ± 1.4 for LEU. Ovarian endometrioma decreased by 12.26 ± 17.52 cm</w:t>
      </w:r>
      <w:r>
        <w:rPr>
          <w:rFonts w:ascii="Segoe UI" w:hAnsi="Segoe UI" w:cs="Segoe UI"/>
          <w:color w:val="212121"/>
          <w:sz w:val="18"/>
          <w:szCs w:val="18"/>
          <w:vertAlign w:val="superscript"/>
        </w:rPr>
        <w:t>3</w:t>
      </w:r>
      <w:r>
        <w:rPr>
          <w:rFonts w:ascii="Segoe UI" w:hAnsi="Segoe UI" w:cs="Segoe UI"/>
          <w:color w:val="212121"/>
        </w:rPr>
        <w:t> for REL and 14.10 ± 18.81 cm</w:t>
      </w:r>
      <w:r>
        <w:rPr>
          <w:rFonts w:ascii="Segoe UI" w:hAnsi="Segoe UI" w:cs="Segoe UI"/>
          <w:color w:val="212121"/>
          <w:sz w:val="18"/>
          <w:szCs w:val="18"/>
          <w:vertAlign w:val="superscript"/>
        </w:rPr>
        <w:t>3</w:t>
      </w:r>
      <w:r>
        <w:rPr>
          <w:rFonts w:ascii="Segoe UI" w:hAnsi="Segoe UI" w:cs="Segoe UI"/>
          <w:color w:val="212121"/>
        </w:rPr>
        <w:t> for LEU. Drug-related treatment emergent adverse events with an incidence of &gt;10% for both groups were hot flush, metrorrhagia, headache, and genital hemorrhage. Discontinuations from treatment emergent adverse events were 2.9% for REL and 4.3% for LEU.</w:t>
      </w:r>
    </w:p>
    <w:p w14:paraId="79527627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lastRenderedPageBreak/>
        <w:t>Conclusion(s): </w:t>
      </w:r>
      <w:r>
        <w:rPr>
          <w:rFonts w:ascii="Segoe UI" w:hAnsi="Segoe UI" w:cs="Segoe UI"/>
          <w:color w:val="212121"/>
        </w:rPr>
        <w:t>Relugolix was noninferior to LEU for treating endometriosis-associated pelvic pain. Safety profiles of both medications were comparable, although menses returned earlier in patients taking REL, a huge benefit for women who plan to conceive after treatment.</w:t>
      </w:r>
    </w:p>
    <w:p w14:paraId="6B8BBDC9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Clinical trial registration number: </w:t>
      </w:r>
      <w:r>
        <w:rPr>
          <w:rFonts w:ascii="Segoe UI" w:hAnsi="Segoe UI" w:cs="Segoe UI"/>
          <w:color w:val="212121"/>
        </w:rPr>
        <w:t>ClinicalTrials.gov: </w:t>
      </w:r>
      <w:hyperlink r:id="rId6" w:tooltip="See in ClinicalTrials.gov" w:history="1">
        <w:r>
          <w:rPr>
            <w:rStyle w:val="Hyperlink"/>
            <w:rFonts w:ascii="Segoe UI" w:hAnsi="Segoe UI" w:cs="Segoe UI"/>
            <w:color w:val="0071BC"/>
          </w:rPr>
          <w:t>NCT03931915</w:t>
        </w:r>
      </w:hyperlink>
      <w:r>
        <w:rPr>
          <w:rFonts w:ascii="Segoe UI" w:hAnsi="Segoe UI" w:cs="Segoe UI"/>
          <w:color w:val="212121"/>
        </w:rPr>
        <w:t>.</w:t>
      </w:r>
    </w:p>
    <w:p w14:paraId="6AFCBF87" w14:textId="77777777" w:rsidR="00181155" w:rsidRDefault="00181155" w:rsidP="00181155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Keywords: </w:t>
      </w:r>
      <w:r>
        <w:rPr>
          <w:rFonts w:ascii="Segoe UI" w:hAnsi="Segoe UI" w:cs="Segoe UI"/>
          <w:color w:val="212121"/>
        </w:rPr>
        <w:t>Endometriosis; GnRH; gonadotropin-releasing hormone receptor antagonist; relugolix.</w:t>
      </w:r>
    </w:p>
    <w:p w14:paraId="7D4C9374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24440"/>
    <w:multiLevelType w:val="hybridMultilevel"/>
    <w:tmpl w:val="20D6FC8A"/>
    <w:lvl w:ilvl="0" w:tplc="42BA6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155"/>
    <w:rsid w:val="000103D1"/>
    <w:rsid w:val="00016D92"/>
    <w:rsid w:val="0004655A"/>
    <w:rsid w:val="00085D85"/>
    <w:rsid w:val="000911C6"/>
    <w:rsid w:val="0009365F"/>
    <w:rsid w:val="00165008"/>
    <w:rsid w:val="00181155"/>
    <w:rsid w:val="00364F02"/>
    <w:rsid w:val="00523748"/>
    <w:rsid w:val="005E1977"/>
    <w:rsid w:val="00627A86"/>
    <w:rsid w:val="006419FC"/>
    <w:rsid w:val="00772B32"/>
    <w:rsid w:val="007A061C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A1A8E"/>
    <w:rsid w:val="00CB574B"/>
    <w:rsid w:val="00CB5B2F"/>
    <w:rsid w:val="00CE09C4"/>
    <w:rsid w:val="00D86657"/>
    <w:rsid w:val="00DD3612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367DD55"/>
  <w15:chartTrackingRefBased/>
  <w15:docId w15:val="{1AF247EF-8101-C942-88B9-64201C87D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155"/>
  </w:style>
  <w:style w:type="paragraph" w:styleId="Heading2">
    <w:name w:val="heading 2"/>
    <w:basedOn w:val="Normal"/>
    <w:link w:val="Heading2Char"/>
    <w:uiPriority w:val="9"/>
    <w:qFormat/>
    <w:rsid w:val="0018115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8115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18115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8115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81155"/>
    <w:rPr>
      <w:b/>
      <w:bCs/>
    </w:rPr>
  </w:style>
  <w:style w:type="paragraph" w:styleId="ListParagraph">
    <w:name w:val="List Paragraph"/>
    <w:basedOn w:val="Normal"/>
    <w:uiPriority w:val="34"/>
    <w:qFormat/>
    <w:rsid w:val="00181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linicaltrials.gov/show/NCT03931915" TargetMode="External"/><Relationship Id="rId5" Type="http://schemas.openxmlformats.org/officeDocument/2006/relationships/hyperlink" Target="https://pubmed.ncbi.nlm.nih.gov/3489570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2022-01-24T08:53:00Z</dcterms:created>
  <dcterms:modified xsi:type="dcterms:W3CDTF">2022-01-24T08:53:00Z</dcterms:modified>
</cp:coreProperties>
</file>