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5C7AAB" w14:textId="77777777" w:rsidR="0054540E" w:rsidRDefault="0054540E" w:rsidP="0054540E">
      <w:pPr>
        <w:shd w:val="clear" w:color="auto" w:fill="FFFFFF"/>
        <w:rPr>
          <w:rFonts w:ascii="Segoe UI" w:eastAsia="Times New Roman" w:hAnsi="Segoe UI" w:cs="Segoe UI"/>
          <w:color w:val="212121"/>
        </w:rPr>
      </w:pPr>
    </w:p>
    <w:p w14:paraId="42DAC691" w14:textId="77777777" w:rsidR="0054540E" w:rsidRPr="00416FBF" w:rsidRDefault="0054540E" w:rsidP="0054540E">
      <w:pPr>
        <w:pStyle w:val="ListParagraph"/>
        <w:numPr>
          <w:ilvl w:val="0"/>
          <w:numId w:val="1"/>
        </w:numPr>
        <w:shd w:val="clear" w:color="auto" w:fill="FFFFFF"/>
        <w:rPr>
          <w:rFonts w:ascii="Segoe UI" w:eastAsia="Times New Roman" w:hAnsi="Segoe UI" w:cs="Segoe UI"/>
          <w:color w:val="212121"/>
        </w:rPr>
      </w:pPr>
      <w:hyperlink r:id="rId5" w:history="1">
        <w:r w:rsidRPr="00416FBF">
          <w:rPr>
            <w:rFonts w:ascii="Segoe UI" w:eastAsia="Times New Roman" w:hAnsi="Segoe UI" w:cs="Segoe UI"/>
            <w:color w:val="0071BC"/>
          </w:rPr>
          <w:t>Indocyanine green fluorescence angiography after full-thickness bowel resection for rectosigmoid </w:t>
        </w:r>
        <w:r w:rsidRPr="00416FBF">
          <w:rPr>
            <w:rFonts w:ascii="Segoe UI" w:eastAsia="Times New Roman" w:hAnsi="Segoe UI" w:cs="Segoe UI"/>
            <w:b/>
            <w:bCs/>
            <w:color w:val="0071BC"/>
          </w:rPr>
          <w:t>endometriosis</w:t>
        </w:r>
        <w:r w:rsidRPr="00416FBF">
          <w:rPr>
            <w:rFonts w:ascii="Segoe UI" w:eastAsia="Times New Roman" w:hAnsi="Segoe UI" w:cs="Segoe UI"/>
            <w:color w:val="0071BC"/>
          </w:rPr>
          <w:t>: A multicentric experience with quantitative analysis.</w:t>
        </w:r>
      </w:hyperlink>
    </w:p>
    <w:p w14:paraId="5E007759" w14:textId="77777777" w:rsidR="0054540E" w:rsidRPr="00A71D3B" w:rsidRDefault="0054540E" w:rsidP="0054540E">
      <w:pPr>
        <w:shd w:val="clear" w:color="auto" w:fill="FFFFFF"/>
        <w:rPr>
          <w:rFonts w:ascii="Segoe UI" w:eastAsia="Times New Roman" w:hAnsi="Segoe UI" w:cs="Segoe UI"/>
          <w:color w:val="4D8055"/>
        </w:rPr>
      </w:pPr>
      <w:r w:rsidRPr="00A71D3B">
        <w:rPr>
          <w:rFonts w:ascii="Segoe UI" w:eastAsia="Times New Roman" w:hAnsi="Segoe UI" w:cs="Segoe UI"/>
          <w:color w:val="212121"/>
        </w:rPr>
        <w:t>Raimondo D, Maletta M, Malzoni M, Cosentino F, Scambia G, Falcone F, Coppola M, Turco LC, Borghese G, Raffone A, Casadio P, Fabbri C, Corsi C, Seracchioli R.</w:t>
      </w:r>
      <w:r w:rsidRPr="00A71D3B">
        <w:rPr>
          <w:rFonts w:ascii="Segoe UI" w:eastAsia="Times New Roman" w:hAnsi="Segoe UI" w:cs="Segoe UI"/>
          <w:color w:val="4D8055"/>
        </w:rPr>
        <w:t>Int J Gynaecol Obstet. 2021 Dec 7. doi: 10.1002/ijgo.14059. Online ahead of print.PMID: 34875108</w:t>
      </w:r>
    </w:p>
    <w:p w14:paraId="52EF86E5" w14:textId="77777777" w:rsidR="0054540E" w:rsidRDefault="0054540E" w:rsidP="0054540E">
      <w:pPr>
        <w:shd w:val="clear" w:color="auto" w:fill="FFFFFF"/>
        <w:rPr>
          <w:rFonts w:ascii="Segoe UI" w:eastAsia="Times New Roman" w:hAnsi="Segoe UI" w:cs="Segoe UI"/>
          <w:color w:val="212121"/>
        </w:rPr>
      </w:pPr>
    </w:p>
    <w:p w14:paraId="4A16D8CE" w14:textId="77777777" w:rsidR="0054540E" w:rsidRDefault="0054540E" w:rsidP="0054540E">
      <w:pPr>
        <w:pStyle w:val="Heading2"/>
        <w:shd w:val="clear" w:color="auto" w:fill="FFFFFF"/>
        <w:rPr>
          <w:rFonts w:ascii="Merriweather" w:hAnsi="Merriweather"/>
          <w:color w:val="212121"/>
        </w:rPr>
      </w:pPr>
      <w:r>
        <w:rPr>
          <w:rFonts w:ascii="Merriweather" w:hAnsi="Merriweather"/>
          <w:color w:val="212121"/>
        </w:rPr>
        <w:t>Abstract</w:t>
      </w:r>
    </w:p>
    <w:p w14:paraId="698839F7" w14:textId="77777777" w:rsidR="0054540E" w:rsidRDefault="0054540E" w:rsidP="0054540E">
      <w:pPr>
        <w:pStyle w:val="NormalWeb"/>
        <w:shd w:val="clear" w:color="auto" w:fill="FFFFFF"/>
        <w:rPr>
          <w:rFonts w:ascii="Segoe UI" w:hAnsi="Segoe UI" w:cs="Segoe UI"/>
          <w:color w:val="212121"/>
        </w:rPr>
      </w:pPr>
      <w:r>
        <w:rPr>
          <w:rStyle w:val="Strong"/>
          <w:rFonts w:ascii="Segoe UI" w:hAnsi="Segoe UI" w:cs="Segoe UI"/>
          <w:color w:val="212121"/>
        </w:rPr>
        <w:t>Objective: </w:t>
      </w:r>
      <w:r>
        <w:rPr>
          <w:rFonts w:ascii="Segoe UI" w:hAnsi="Segoe UI" w:cs="Segoe UI"/>
          <w:color w:val="212121"/>
        </w:rPr>
        <w:t>To evaluate effectiveness and reproducibility of qualitative and quantitative near-infrared indocyanine green (NIR-ICG) analyses as a tool for anastomotic perfusion assessment after full-thickness bowel resection for rectosigmoid endometriosis (RSE).</w:t>
      </w:r>
    </w:p>
    <w:p w14:paraId="2A249E7C" w14:textId="77777777" w:rsidR="0054540E" w:rsidRDefault="0054540E" w:rsidP="0054540E">
      <w:pPr>
        <w:pStyle w:val="NormalWeb"/>
        <w:shd w:val="clear" w:color="auto" w:fill="FFFFFF"/>
        <w:rPr>
          <w:rFonts w:ascii="Segoe UI" w:hAnsi="Segoe UI" w:cs="Segoe UI"/>
          <w:color w:val="212121"/>
        </w:rPr>
      </w:pPr>
      <w:r>
        <w:rPr>
          <w:rStyle w:val="Strong"/>
          <w:rFonts w:ascii="Segoe UI" w:hAnsi="Segoe UI" w:cs="Segoe UI"/>
          <w:color w:val="212121"/>
        </w:rPr>
        <w:t>Methods: </w:t>
      </w:r>
      <w:r>
        <w:rPr>
          <w:rFonts w:ascii="Segoe UI" w:hAnsi="Segoe UI" w:cs="Segoe UI"/>
          <w:color w:val="212121"/>
        </w:rPr>
        <w:t>Symptomatic women with RSE undergoing minimally invasive full-thickness surgical excision of RSE and NIR-ICG evaluation from November 2019 to July 2020 were included. Study outcomes were the accuracy of qualitative and quantitative NIR-ICG analyses in predicting bowel fistula and their reproducibility. NIR-ICG predictive accuracy was assessed by calculating sensitivity, specificity, and area under the curve on receiver operating characteristic curves with 95% confidence intervals (CI). NIR-ICG reproducibility was assessed through Cohen's k coefficient to determine interoperator agreement between two observers.</w:t>
      </w:r>
    </w:p>
    <w:p w14:paraId="59E0C826" w14:textId="77777777" w:rsidR="0054540E" w:rsidRDefault="0054540E" w:rsidP="0054540E">
      <w:pPr>
        <w:pStyle w:val="NormalWeb"/>
        <w:shd w:val="clear" w:color="auto" w:fill="FFFFFF"/>
        <w:rPr>
          <w:rFonts w:ascii="Segoe UI" w:hAnsi="Segoe UI" w:cs="Segoe UI"/>
          <w:color w:val="212121"/>
        </w:rPr>
      </w:pPr>
      <w:r>
        <w:rPr>
          <w:rStyle w:val="Strong"/>
          <w:rFonts w:ascii="Segoe UI" w:hAnsi="Segoe UI" w:cs="Segoe UI"/>
          <w:color w:val="212121"/>
        </w:rPr>
        <w:t>Results: </w:t>
      </w:r>
      <w:r>
        <w:rPr>
          <w:rFonts w:ascii="Segoe UI" w:hAnsi="Segoe UI" w:cs="Segoe UI"/>
          <w:color w:val="212121"/>
        </w:rPr>
        <w:t>Of 33 patients, 2 (6%) developed bowel fistula. In predicting bowel fistula, qualitative and quantitative NIR-ICG evaluations showed sensitivity of 100% and 100%, specificity of 71% and 93%, and area under the curve of 0.86 (95% CI 0.67-1.00) and 0.96 (95% CI 0-1.00), respectively. Regarding interoperator agreement rate, it was reported as excellent for the qualitative analysis and very good for the quantitative analysis.</w:t>
      </w:r>
    </w:p>
    <w:p w14:paraId="1F6B3020" w14:textId="77777777" w:rsidR="0054540E" w:rsidRDefault="0054540E" w:rsidP="0054540E">
      <w:pPr>
        <w:pStyle w:val="NormalWeb"/>
        <w:shd w:val="clear" w:color="auto" w:fill="FFFFFF"/>
        <w:rPr>
          <w:rFonts w:ascii="Segoe UI" w:hAnsi="Segoe UI" w:cs="Segoe UI"/>
          <w:color w:val="212121"/>
        </w:rPr>
      </w:pPr>
      <w:r>
        <w:rPr>
          <w:rStyle w:val="Strong"/>
          <w:rFonts w:ascii="Segoe UI" w:hAnsi="Segoe UI" w:cs="Segoe UI"/>
          <w:color w:val="212121"/>
        </w:rPr>
        <w:t>Conclusion: </w:t>
      </w:r>
      <w:r>
        <w:rPr>
          <w:rFonts w:ascii="Segoe UI" w:hAnsi="Segoe UI" w:cs="Segoe UI"/>
          <w:color w:val="212121"/>
        </w:rPr>
        <w:t>Qualitative and quantitative NIR-ICG evaluations might be effective and reproducible tools for anastomotic perfusion assessment after discoid or segmental resection for RSE. Quantitative evaluation might be even more effective than qualitative evaluation in predicting bowel fistula.</w:t>
      </w:r>
    </w:p>
    <w:p w14:paraId="6E21F8B0" w14:textId="77777777" w:rsidR="0054540E" w:rsidRDefault="0054540E" w:rsidP="0054540E">
      <w:pPr>
        <w:pStyle w:val="NormalWeb"/>
        <w:shd w:val="clear" w:color="auto" w:fill="FFFFFF"/>
        <w:rPr>
          <w:rFonts w:ascii="Segoe UI" w:hAnsi="Segoe UI" w:cs="Segoe UI"/>
          <w:color w:val="212121"/>
        </w:rPr>
      </w:pPr>
      <w:r>
        <w:rPr>
          <w:rStyle w:val="Strong"/>
          <w:rFonts w:ascii="Segoe UI" w:hAnsi="Segoe UI" w:cs="Segoe UI"/>
          <w:color w:val="212121"/>
        </w:rPr>
        <w:t>Keywords: </w:t>
      </w:r>
      <w:r>
        <w:rPr>
          <w:rFonts w:ascii="Segoe UI" w:hAnsi="Segoe UI" w:cs="Segoe UI"/>
          <w:color w:val="212121"/>
        </w:rPr>
        <w:t>anastomotic leakage; bowel fistula; endometriosis; minimally invasive surgery; qualitative analysis.</w:t>
      </w:r>
    </w:p>
    <w:p w14:paraId="74FE1FE9"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540E"/>
    <w:rsid w:val="000103D1"/>
    <w:rsid w:val="00016D92"/>
    <w:rsid w:val="0004655A"/>
    <w:rsid w:val="00085D85"/>
    <w:rsid w:val="000911C6"/>
    <w:rsid w:val="0009365F"/>
    <w:rsid w:val="00165008"/>
    <w:rsid w:val="00364F02"/>
    <w:rsid w:val="00523748"/>
    <w:rsid w:val="0054540E"/>
    <w:rsid w:val="005E1977"/>
    <w:rsid w:val="00627A86"/>
    <w:rsid w:val="006419FC"/>
    <w:rsid w:val="00772B32"/>
    <w:rsid w:val="007A061C"/>
    <w:rsid w:val="007F31DC"/>
    <w:rsid w:val="00852BED"/>
    <w:rsid w:val="009F33F4"/>
    <w:rsid w:val="00A16744"/>
    <w:rsid w:val="00A80B37"/>
    <w:rsid w:val="00BC5051"/>
    <w:rsid w:val="00BC6850"/>
    <w:rsid w:val="00C275F8"/>
    <w:rsid w:val="00CA0ECB"/>
    <w:rsid w:val="00CA1A8E"/>
    <w:rsid w:val="00CB574B"/>
    <w:rsid w:val="00CB5B2F"/>
    <w:rsid w:val="00CE09C4"/>
    <w:rsid w:val="00D86657"/>
    <w:rsid w:val="00DD3612"/>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2F566B34"/>
  <w15:chartTrackingRefBased/>
  <w15:docId w15:val="{20BF1886-842A-B449-A455-4328CCC4FD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540E"/>
  </w:style>
  <w:style w:type="paragraph" w:styleId="Heading2">
    <w:name w:val="heading 2"/>
    <w:basedOn w:val="Normal"/>
    <w:link w:val="Heading2Char"/>
    <w:uiPriority w:val="9"/>
    <w:qFormat/>
    <w:rsid w:val="0054540E"/>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4540E"/>
    <w:rPr>
      <w:rFonts w:ascii="Times New Roman" w:eastAsia="Times New Roman" w:hAnsi="Times New Roman" w:cs="Times New Roman"/>
      <w:b/>
      <w:bCs/>
      <w:sz w:val="36"/>
      <w:szCs w:val="36"/>
    </w:rPr>
  </w:style>
  <w:style w:type="paragraph" w:styleId="NormalWeb">
    <w:name w:val="Normal (Web)"/>
    <w:basedOn w:val="Normal"/>
    <w:uiPriority w:val="99"/>
    <w:unhideWhenUsed/>
    <w:rsid w:val="0054540E"/>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54540E"/>
    <w:rPr>
      <w:b/>
      <w:bCs/>
    </w:rPr>
  </w:style>
  <w:style w:type="paragraph" w:styleId="ListParagraph">
    <w:name w:val="List Paragraph"/>
    <w:basedOn w:val="Normal"/>
    <w:uiPriority w:val="34"/>
    <w:qFormat/>
    <w:rsid w:val="0054540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med.ncbi.nlm.nih.gov/34875108/"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331</Words>
  <Characters>1890</Characters>
  <Application>Microsoft Office Word</Application>
  <DocSecurity>0</DocSecurity>
  <Lines>15</Lines>
  <Paragraphs>4</Paragraphs>
  <ScaleCrop>false</ScaleCrop>
  <Company/>
  <LinksUpToDate>false</LinksUpToDate>
  <CharactersWithSpaces>2217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2022-01-24T10:54:00Z</dcterms:created>
  <dcterms:modified xsi:type="dcterms:W3CDTF">2022-01-24T10:54:00Z</dcterms:modified>
</cp:coreProperties>
</file>