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99D4C" w14:textId="77777777" w:rsidR="00C105A6" w:rsidRPr="00416FBF" w:rsidRDefault="00C105A6" w:rsidP="00C105A6">
      <w:pPr>
        <w:pStyle w:val="ListParagraph"/>
        <w:numPr>
          <w:ilvl w:val="0"/>
          <w:numId w:val="1"/>
        </w:numPr>
        <w:shd w:val="clear" w:color="auto" w:fill="FFFFFF"/>
        <w:rPr>
          <w:rFonts w:ascii="Segoe UI" w:eastAsia="Times New Roman" w:hAnsi="Segoe UI" w:cs="Segoe UI"/>
          <w:color w:val="212121"/>
        </w:rPr>
      </w:pPr>
      <w:hyperlink r:id="rId5" w:history="1">
        <w:r w:rsidRPr="00416FBF">
          <w:rPr>
            <w:rFonts w:ascii="Segoe UI" w:eastAsia="Times New Roman" w:hAnsi="Segoe UI" w:cs="Segoe UI"/>
            <w:color w:val="0071BC"/>
          </w:rPr>
          <w:t>Impact of perioperative use of GnRH agonist or dienogest on ovarian reserve after cystectomy for endometriomas: a randomized controlled trial.</w:t>
        </w:r>
      </w:hyperlink>
    </w:p>
    <w:p w14:paraId="28043105" w14:textId="77777777" w:rsidR="00C105A6" w:rsidRPr="00A71D3B" w:rsidRDefault="00C105A6" w:rsidP="00C105A6">
      <w:pPr>
        <w:shd w:val="clear" w:color="auto" w:fill="FFFFFF"/>
        <w:rPr>
          <w:rFonts w:ascii="Segoe UI" w:eastAsia="Times New Roman" w:hAnsi="Segoe UI" w:cs="Segoe UI"/>
          <w:color w:val="4D8055"/>
        </w:rPr>
      </w:pPr>
      <w:r w:rsidRPr="00A71D3B">
        <w:rPr>
          <w:rFonts w:ascii="Segoe UI" w:eastAsia="Times New Roman" w:hAnsi="Segoe UI" w:cs="Segoe UI"/>
          <w:color w:val="212121"/>
        </w:rPr>
        <w:t>Muraoka A, Osuka S, Yabuki A, Bayasula, Yoshihara M, Tanaka H, Sonehara R, Miyake N, Murakami M, Yoshita S, Nakanishi N, Nakamura T, Goto M, Iwase A, Kajiyama H.</w:t>
      </w:r>
      <w:r w:rsidRPr="00A71D3B">
        <w:rPr>
          <w:rFonts w:ascii="Segoe UI" w:eastAsia="Times New Roman" w:hAnsi="Segoe UI" w:cs="Segoe UI"/>
          <w:color w:val="4D8055"/>
        </w:rPr>
        <w:t>Reprod Biol Endocrinol. 2021 Dec 6;19(1):179. doi: 10.1186/s12958-021-00866-2.PMID: 34872568 </w:t>
      </w:r>
      <w:r w:rsidRPr="00A71D3B">
        <w:rPr>
          <w:rFonts w:ascii="Segoe UI" w:eastAsia="Times New Roman" w:hAnsi="Segoe UI" w:cs="Segoe UI"/>
          <w:b/>
          <w:bCs/>
          <w:color w:val="C05600"/>
        </w:rPr>
        <w:t>Free PMC article.</w:t>
      </w:r>
    </w:p>
    <w:p w14:paraId="43D96070" w14:textId="77777777" w:rsidR="00C105A6" w:rsidRDefault="00C105A6" w:rsidP="00C105A6">
      <w:pPr>
        <w:shd w:val="clear" w:color="auto" w:fill="FFFFFF"/>
        <w:rPr>
          <w:rFonts w:ascii="Segoe UI" w:eastAsia="Times New Roman" w:hAnsi="Segoe UI" w:cs="Segoe UI"/>
          <w:color w:val="212121"/>
        </w:rPr>
      </w:pPr>
    </w:p>
    <w:p w14:paraId="05557771" w14:textId="77777777" w:rsidR="00C105A6" w:rsidRDefault="00C105A6" w:rsidP="00C105A6">
      <w:pPr>
        <w:pStyle w:val="Heading2"/>
        <w:shd w:val="clear" w:color="auto" w:fill="FFFFFF"/>
        <w:rPr>
          <w:rFonts w:ascii="Merriweather" w:hAnsi="Merriweather"/>
          <w:color w:val="212121"/>
        </w:rPr>
      </w:pPr>
      <w:r>
        <w:rPr>
          <w:rFonts w:ascii="Merriweather" w:hAnsi="Merriweather"/>
          <w:color w:val="212121"/>
        </w:rPr>
        <w:t>Abstract</w:t>
      </w:r>
    </w:p>
    <w:p w14:paraId="3AD3D9DB" w14:textId="77777777" w:rsidR="00C105A6" w:rsidRDefault="00C105A6" w:rsidP="00C105A6">
      <w:pPr>
        <w:pStyle w:val="NormalWeb"/>
        <w:shd w:val="clear" w:color="auto" w:fill="FFFFFF"/>
        <w:rPr>
          <w:rFonts w:ascii="Segoe UI" w:hAnsi="Segoe UI" w:cs="Segoe UI"/>
          <w:color w:val="212121"/>
        </w:rPr>
      </w:pPr>
      <w:r>
        <w:rPr>
          <w:rStyle w:val="Strong"/>
          <w:rFonts w:ascii="Segoe UI" w:hAnsi="Segoe UI" w:cs="Segoe UI"/>
          <w:color w:val="212121"/>
        </w:rPr>
        <w:t>Background: </w:t>
      </w:r>
      <w:r>
        <w:rPr>
          <w:rFonts w:ascii="Segoe UI" w:hAnsi="Segoe UI" w:cs="Segoe UI"/>
          <w:color w:val="212121"/>
        </w:rPr>
        <w:t>Ovarian endometrioma is a common gynecological disease that is often treated with surgery or hormonal treatment. Ovarian cystectomy, a surgical procedure for ovarian endometrioma, can result in impaired ovarian reserve.</w:t>
      </w:r>
    </w:p>
    <w:p w14:paraId="6C597C0D" w14:textId="77777777" w:rsidR="00C105A6" w:rsidRDefault="00C105A6" w:rsidP="00C105A6">
      <w:pPr>
        <w:pStyle w:val="NormalWeb"/>
        <w:shd w:val="clear" w:color="auto" w:fill="FFFFFF"/>
        <w:rPr>
          <w:rFonts w:ascii="Segoe UI" w:hAnsi="Segoe UI" w:cs="Segoe UI"/>
          <w:color w:val="212121"/>
        </w:rPr>
      </w:pPr>
      <w:r>
        <w:rPr>
          <w:rStyle w:val="Strong"/>
          <w:rFonts w:ascii="Segoe UI" w:hAnsi="Segoe UI" w:cs="Segoe UI"/>
          <w:color w:val="212121"/>
        </w:rPr>
        <w:t>Methods: </w:t>
      </w:r>
      <w:r>
        <w:rPr>
          <w:rFonts w:ascii="Segoe UI" w:hAnsi="Segoe UI" w:cs="Segoe UI"/>
          <w:color w:val="212121"/>
        </w:rPr>
        <w:t>We conducted a randomized controlled trial to evaluate the efficacy of hormonal treatment [gonadotropin-releasing hormone agonist (GnRHa) or dienogest (DNG)] for preserving ovarian reserve after cystectomy for ovarian endometrioma. The primary endpoint was the level of serum Anti-Müllerian hormone (AMH) as a marker of ovarian reserve.</w:t>
      </w:r>
    </w:p>
    <w:p w14:paraId="3FF8E23A" w14:textId="77777777" w:rsidR="00C105A6" w:rsidRDefault="00C105A6" w:rsidP="00C105A6">
      <w:pPr>
        <w:pStyle w:val="NormalWeb"/>
        <w:shd w:val="clear" w:color="auto" w:fill="FFFFFF"/>
        <w:rPr>
          <w:rFonts w:ascii="Segoe UI" w:hAnsi="Segoe UI" w:cs="Segoe UI"/>
          <w:color w:val="212121"/>
        </w:rPr>
      </w:pPr>
      <w:r>
        <w:rPr>
          <w:rStyle w:val="Strong"/>
          <w:rFonts w:ascii="Segoe UI" w:hAnsi="Segoe UI" w:cs="Segoe UI"/>
          <w:color w:val="212121"/>
        </w:rPr>
        <w:t>Results: </w:t>
      </w:r>
      <w:r>
        <w:rPr>
          <w:rFonts w:ascii="Segoe UI" w:hAnsi="Segoe UI" w:cs="Segoe UI"/>
          <w:color w:val="212121"/>
        </w:rPr>
        <w:t>Before and after laparoscopic surgery, 22 patients in the GnRHa group and 27 patients in the DNG group were administered hormonal treatment for a total of 4 months. After 1-year follow-up, &gt;60% of the patients in the DNG group retained over 70% of their pretreatment AMH levels, whereas no patient in the GnRHa group retained their AMH levels after cystectomy (P &lt; 0.01). Interleukin-6 (IL-6) is a key cytokine involved in inflammation. Compared with the GnRHa group, patients in the DNG group had lower IL-6 levels at the end of treatment.</w:t>
      </w:r>
    </w:p>
    <w:p w14:paraId="4A0BAD4D" w14:textId="77777777" w:rsidR="00C105A6" w:rsidRDefault="00C105A6" w:rsidP="00C105A6">
      <w:pPr>
        <w:pStyle w:val="NormalWeb"/>
        <w:shd w:val="clear" w:color="auto" w:fill="FFFFFF"/>
        <w:rPr>
          <w:rFonts w:ascii="Segoe UI" w:hAnsi="Segoe UI" w:cs="Segoe UI"/>
          <w:color w:val="212121"/>
        </w:rPr>
      </w:pPr>
      <w:r>
        <w:rPr>
          <w:rStyle w:val="Strong"/>
          <w:rFonts w:ascii="Segoe UI" w:hAnsi="Segoe UI" w:cs="Segoe UI"/>
          <w:color w:val="212121"/>
        </w:rPr>
        <w:t>Conclusions: </w:t>
      </w:r>
      <w:r>
        <w:rPr>
          <w:rFonts w:ascii="Segoe UI" w:hAnsi="Segoe UI" w:cs="Segoe UI"/>
          <w:color w:val="212121"/>
        </w:rPr>
        <w:t>Our data revealed that DNG is more effective than GnRHa in preserving ovarian reserve after cystectomy of ovarian endometrioma. This is achieved through the reduction of the inflammatory response during the perioperative period and other endometriosis-related inflammatory reactions.</w:t>
      </w:r>
    </w:p>
    <w:p w14:paraId="3D0441D5" w14:textId="77777777" w:rsidR="00C105A6" w:rsidRDefault="00C105A6" w:rsidP="00C105A6">
      <w:pPr>
        <w:pStyle w:val="NormalWeb"/>
        <w:shd w:val="clear" w:color="auto" w:fill="FFFFFF"/>
        <w:rPr>
          <w:rFonts w:ascii="Segoe UI" w:hAnsi="Segoe UI" w:cs="Segoe UI"/>
          <w:color w:val="212121"/>
        </w:rPr>
      </w:pPr>
      <w:r>
        <w:rPr>
          <w:rStyle w:val="Strong"/>
          <w:rFonts w:ascii="Segoe UI" w:hAnsi="Segoe UI" w:cs="Segoe UI"/>
          <w:color w:val="212121"/>
        </w:rPr>
        <w:t>Trial registration: </w:t>
      </w:r>
      <w:r>
        <w:rPr>
          <w:rFonts w:ascii="Segoe UI" w:hAnsi="Segoe UI" w:cs="Segoe UI"/>
          <w:color w:val="212121"/>
        </w:rPr>
        <w:t>The registration number of this trial is UMIN-CTR, UMIN000018569, registered 6 August 2015, https://upload.umin.ac.jp/cgi-open-bin/ctr_e/ctr_view.cgi?recptno=R000021492 , and Japan Registry of Clinical Trials, jRCTs041180140, registered 29 March 2019, https://jrct.niph.go.jp/en-latest-detail/jRCTs041180140 . This randomized controlled trial was conducted in accordance with the CONSORT guidelines.</w:t>
      </w:r>
    </w:p>
    <w:p w14:paraId="675E6091" w14:textId="77777777" w:rsidR="00C105A6" w:rsidRDefault="00C105A6" w:rsidP="00C105A6">
      <w:pPr>
        <w:pStyle w:val="NormalWeb"/>
        <w:shd w:val="clear" w:color="auto" w:fill="FFFFFF"/>
        <w:rPr>
          <w:rFonts w:ascii="Segoe UI" w:hAnsi="Segoe UI" w:cs="Segoe UI"/>
          <w:color w:val="212121"/>
        </w:rPr>
      </w:pPr>
      <w:r>
        <w:rPr>
          <w:rStyle w:val="Strong"/>
          <w:rFonts w:ascii="Segoe UI" w:hAnsi="Segoe UI" w:cs="Segoe UI"/>
          <w:color w:val="212121"/>
        </w:rPr>
        <w:t>Keywords: </w:t>
      </w:r>
      <w:r>
        <w:rPr>
          <w:rFonts w:ascii="Segoe UI" w:hAnsi="Segoe UI" w:cs="Segoe UI"/>
          <w:color w:val="212121"/>
        </w:rPr>
        <w:t>Anti-Müllerian hormone; Cystectomy; Endometriomas; Ovarian reserve.</w:t>
      </w:r>
    </w:p>
    <w:p w14:paraId="5647746D" w14:textId="77777777" w:rsidR="00852BED" w:rsidRDefault="00852BED"/>
    <w:sectPr w:rsidR="00852BE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erriweather">
    <w:panose1 w:val="00000500000000000000"/>
    <w:charset w:val="4D"/>
    <w:family w:val="auto"/>
    <w:pitch w:val="variable"/>
    <w:sig w:usb0="20000207" w:usb1="00000002" w:usb2="00000000" w:usb3="00000000" w:csb0="00000197"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524440"/>
    <w:multiLevelType w:val="hybridMultilevel"/>
    <w:tmpl w:val="20D6FC8A"/>
    <w:lvl w:ilvl="0" w:tplc="42BA6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05A6"/>
    <w:rsid w:val="000103D1"/>
    <w:rsid w:val="00016D92"/>
    <w:rsid w:val="0004655A"/>
    <w:rsid w:val="00085D85"/>
    <w:rsid w:val="000911C6"/>
    <w:rsid w:val="0009365F"/>
    <w:rsid w:val="00165008"/>
    <w:rsid w:val="00364F02"/>
    <w:rsid w:val="00523748"/>
    <w:rsid w:val="005E1977"/>
    <w:rsid w:val="00627A86"/>
    <w:rsid w:val="006419FC"/>
    <w:rsid w:val="00772B32"/>
    <w:rsid w:val="007A061C"/>
    <w:rsid w:val="007F31DC"/>
    <w:rsid w:val="00852BED"/>
    <w:rsid w:val="009F33F4"/>
    <w:rsid w:val="00A16744"/>
    <w:rsid w:val="00A80B37"/>
    <w:rsid w:val="00BC5051"/>
    <w:rsid w:val="00BC6850"/>
    <w:rsid w:val="00C105A6"/>
    <w:rsid w:val="00C275F8"/>
    <w:rsid w:val="00CA0ECB"/>
    <w:rsid w:val="00CA1A8E"/>
    <w:rsid w:val="00CB574B"/>
    <w:rsid w:val="00CB5B2F"/>
    <w:rsid w:val="00CE09C4"/>
    <w:rsid w:val="00D86657"/>
    <w:rsid w:val="00DD3612"/>
    <w:rsid w:val="00F473E1"/>
    <w:rsid w:val="00F639C4"/>
    <w:rsid w:val="00F7651B"/>
    <w:rsid w:val="00F76DEF"/>
    <w:rsid w:val="00FE1ED6"/>
  </w:rsids>
  <m:mathPr>
    <m:mathFont m:val="Cambria Math"/>
    <m:brkBin m:val="before"/>
    <m:brkBinSub m:val="--"/>
    <m:smallFrac m:val="0"/>
    <m:dispDef/>
    <m:lMargin m:val="0"/>
    <m:rMargin m:val="0"/>
    <m:defJc m:val="centerGroup"/>
    <m:wrapIndent m:val="1440"/>
    <m:intLim m:val="subSup"/>
    <m:naryLim m:val="undOvr"/>
  </m:mathPr>
  <w:themeFontLang w:val="en-TR"/>
  <w:clrSchemeMapping w:bg1="light1" w:t1="dark1" w:bg2="light2" w:t2="dark2" w:accent1="accent1" w:accent2="accent2" w:accent3="accent3" w:accent4="accent4" w:accent5="accent5" w:accent6="accent6" w:hyperlink="hyperlink" w:followedHyperlink="followedHyperlink"/>
  <w:decimalSymbol w:val=","/>
  <w:listSeparator w:val=","/>
  <w14:docId w14:val="536FECDE"/>
  <w15:chartTrackingRefBased/>
  <w15:docId w15:val="{2B998EE7-A0A5-8C4E-B856-463C3FF08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105A6"/>
  </w:style>
  <w:style w:type="paragraph" w:styleId="Heading2">
    <w:name w:val="heading 2"/>
    <w:basedOn w:val="Normal"/>
    <w:link w:val="Heading2Char"/>
    <w:uiPriority w:val="9"/>
    <w:qFormat/>
    <w:rsid w:val="00C105A6"/>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105A6"/>
    <w:rPr>
      <w:rFonts w:ascii="Times New Roman" w:eastAsia="Times New Roman" w:hAnsi="Times New Roman" w:cs="Times New Roman"/>
      <w:b/>
      <w:bCs/>
      <w:sz w:val="36"/>
      <w:szCs w:val="36"/>
    </w:rPr>
  </w:style>
  <w:style w:type="paragraph" w:styleId="NormalWeb">
    <w:name w:val="Normal (Web)"/>
    <w:basedOn w:val="Normal"/>
    <w:uiPriority w:val="99"/>
    <w:unhideWhenUsed/>
    <w:rsid w:val="00C105A6"/>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C105A6"/>
    <w:rPr>
      <w:b/>
      <w:bCs/>
    </w:rPr>
  </w:style>
  <w:style w:type="paragraph" w:styleId="ListParagraph">
    <w:name w:val="List Paragraph"/>
    <w:basedOn w:val="Normal"/>
    <w:uiPriority w:val="34"/>
    <w:qFormat/>
    <w:rsid w:val="00C105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pubmed.ncbi.nlm.nih.gov/3487256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359</Words>
  <Characters>2048</Characters>
  <Application>Microsoft Office Word</Application>
  <DocSecurity>0</DocSecurity>
  <Lines>17</Lines>
  <Paragraphs>4</Paragraphs>
  <ScaleCrop>false</ScaleCrop>
  <Company/>
  <LinksUpToDate>false</LinksUpToDate>
  <CharactersWithSpaces>2403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Ezgi Darıcı</dc:creator>
  <cp:keywords/>
  <dc:description/>
  <cp:lastModifiedBy>Ezgi Darıcı</cp:lastModifiedBy>
  <cp:revision>1</cp:revision>
  <dcterms:created xsi:type="dcterms:W3CDTF">2022-01-24T10:54:00Z</dcterms:created>
  <dcterms:modified xsi:type="dcterms:W3CDTF">2022-01-24T10:54:00Z</dcterms:modified>
</cp:coreProperties>
</file>