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4EECEEA" w14:textId="77777777" w:rsidR="00F10855" w:rsidRPr="00416FBF" w:rsidRDefault="00F10855" w:rsidP="00F10855">
      <w:pPr>
        <w:pStyle w:val="ListParagraph"/>
        <w:numPr>
          <w:ilvl w:val="0"/>
          <w:numId w:val="1"/>
        </w:numPr>
        <w:shd w:val="clear" w:color="auto" w:fill="FFFFFF"/>
        <w:rPr>
          <w:rFonts w:ascii="Segoe UI" w:eastAsia="Times New Roman" w:hAnsi="Segoe UI" w:cs="Segoe UI"/>
          <w:color w:val="212121"/>
        </w:rPr>
      </w:pPr>
      <w:hyperlink r:id="rId5" w:history="1">
        <w:r w:rsidRPr="00416FBF">
          <w:rPr>
            <w:rFonts w:ascii="Segoe UI" w:eastAsia="Times New Roman" w:hAnsi="Segoe UI" w:cs="Segoe UI"/>
            <w:color w:val="0071BC"/>
          </w:rPr>
          <w:t>Robotic Transvaginal Natural Orifice Transluminal Endoscopic Surgery for resection of Parametrial and Bowel Deeply Infiltrated </w:t>
        </w:r>
        <w:r w:rsidRPr="00416FBF">
          <w:rPr>
            <w:rFonts w:ascii="Segoe UI" w:eastAsia="Times New Roman" w:hAnsi="Segoe UI" w:cs="Segoe UI"/>
            <w:b/>
            <w:bCs/>
            <w:color w:val="0071BC"/>
          </w:rPr>
          <w:t>Endometriosis</w:t>
        </w:r>
        <w:r w:rsidRPr="00416FBF">
          <w:rPr>
            <w:rFonts w:ascii="Segoe UI" w:eastAsia="Times New Roman" w:hAnsi="Segoe UI" w:cs="Segoe UI"/>
            <w:color w:val="0071BC"/>
          </w:rPr>
          <w:t>.</w:t>
        </w:r>
      </w:hyperlink>
    </w:p>
    <w:p w14:paraId="588497B6" w14:textId="77777777" w:rsidR="00F10855" w:rsidRPr="00A71D3B" w:rsidRDefault="00F10855" w:rsidP="00F10855">
      <w:pPr>
        <w:shd w:val="clear" w:color="auto" w:fill="FFFFFF"/>
        <w:rPr>
          <w:rFonts w:ascii="Segoe UI" w:eastAsia="Times New Roman" w:hAnsi="Segoe UI" w:cs="Segoe UI"/>
          <w:color w:val="4D8055"/>
        </w:rPr>
      </w:pPr>
      <w:r w:rsidRPr="00A71D3B">
        <w:rPr>
          <w:rFonts w:ascii="Segoe UI" w:eastAsia="Times New Roman" w:hAnsi="Segoe UI" w:cs="Segoe UI"/>
          <w:color w:val="212121"/>
        </w:rPr>
        <w:t>Guan X, Welch JR, Wu G.</w:t>
      </w:r>
      <w:r w:rsidRPr="00A71D3B">
        <w:rPr>
          <w:rFonts w:ascii="Segoe UI" w:eastAsia="Times New Roman" w:hAnsi="Segoe UI" w:cs="Segoe UI"/>
          <w:color w:val="4D8055"/>
        </w:rPr>
        <w:t>J Minim Invasive Gynecol. 2021 Dec 3:S1553-4650(21)01288-7. doi: 10.1016/j.jmig.2021.11.020. Online ahead of print.PMID: 34871771</w:t>
      </w:r>
    </w:p>
    <w:p w14:paraId="71BCFD80" w14:textId="77777777" w:rsidR="00F10855" w:rsidRDefault="00F10855" w:rsidP="00F10855">
      <w:pPr>
        <w:pStyle w:val="Heading2"/>
        <w:shd w:val="clear" w:color="auto" w:fill="FFFFFF"/>
        <w:rPr>
          <w:rFonts w:ascii="Merriweather" w:hAnsi="Merriweather" w:cs="Segoe UI"/>
          <w:color w:val="212121"/>
        </w:rPr>
      </w:pPr>
      <w:r>
        <w:rPr>
          <w:rFonts w:ascii="Merriweather" w:hAnsi="Merriweather" w:cs="Segoe UI"/>
          <w:color w:val="212121"/>
        </w:rPr>
        <w:t>Abstract</w:t>
      </w:r>
    </w:p>
    <w:p w14:paraId="7A561647" w14:textId="77777777" w:rsidR="00F10855" w:rsidRDefault="00F10855" w:rsidP="00F10855">
      <w:pPr>
        <w:pStyle w:val="NormalWeb"/>
        <w:shd w:val="clear" w:color="auto" w:fill="FFFFFF"/>
        <w:rPr>
          <w:rFonts w:ascii="Segoe UI" w:hAnsi="Segoe UI" w:cs="Segoe UI"/>
          <w:color w:val="212121"/>
        </w:rPr>
      </w:pPr>
      <w:r>
        <w:rPr>
          <w:rStyle w:val="Strong"/>
          <w:rFonts w:ascii="Segoe UI" w:hAnsi="Segoe UI" w:cs="Segoe UI"/>
          <w:color w:val="212121"/>
        </w:rPr>
        <w:t>Objective: </w:t>
      </w:r>
      <w:r>
        <w:rPr>
          <w:rFonts w:ascii="Segoe UI" w:hAnsi="Segoe UI" w:cs="Segoe UI"/>
          <w:color w:val="212121"/>
        </w:rPr>
        <w:t>To demonstrate stepwise techniques for the successful utilization of the Robotic-assisted transvaginal Natural Orifice Transluminal Endoscopy Surgery (NOTES) technique for safely surgical managing deeply infiltrated endometriosis (DIE) Design: Stepwise demonstration with narrated video footage.</w:t>
      </w:r>
    </w:p>
    <w:p w14:paraId="53A18885" w14:textId="77777777" w:rsidR="00F10855" w:rsidRDefault="00F10855" w:rsidP="00F10855">
      <w:pPr>
        <w:pStyle w:val="NormalWeb"/>
        <w:shd w:val="clear" w:color="auto" w:fill="FFFFFF"/>
        <w:rPr>
          <w:rFonts w:ascii="Segoe UI" w:hAnsi="Segoe UI" w:cs="Segoe UI"/>
          <w:color w:val="212121"/>
        </w:rPr>
      </w:pPr>
      <w:r>
        <w:rPr>
          <w:rStyle w:val="Strong"/>
          <w:rFonts w:ascii="Segoe UI" w:hAnsi="Segoe UI" w:cs="Segoe UI"/>
          <w:color w:val="212121"/>
        </w:rPr>
        <w:t>Setting: </w:t>
      </w:r>
      <w:r>
        <w:rPr>
          <w:rFonts w:ascii="Segoe UI" w:hAnsi="Segoe UI" w:cs="Segoe UI"/>
          <w:color w:val="212121"/>
        </w:rPr>
        <w:t>An academic tertiary care hospital.</w:t>
      </w:r>
    </w:p>
    <w:p w14:paraId="76FF315A" w14:textId="77777777" w:rsidR="00F10855" w:rsidRDefault="00F10855" w:rsidP="00F10855">
      <w:pPr>
        <w:pStyle w:val="NormalWeb"/>
        <w:shd w:val="clear" w:color="auto" w:fill="FFFFFF"/>
        <w:rPr>
          <w:rFonts w:ascii="Segoe UI" w:hAnsi="Segoe UI" w:cs="Segoe UI"/>
          <w:color w:val="212121"/>
        </w:rPr>
      </w:pPr>
      <w:r>
        <w:rPr>
          <w:rStyle w:val="Strong"/>
          <w:rFonts w:ascii="Segoe UI" w:hAnsi="Segoe UI" w:cs="Segoe UI"/>
          <w:color w:val="212121"/>
        </w:rPr>
        <w:t>Interventions: </w:t>
      </w:r>
      <w:r>
        <w:rPr>
          <w:rFonts w:ascii="Segoe UI" w:hAnsi="Segoe UI" w:cs="Segoe UI"/>
          <w:color w:val="212121"/>
        </w:rPr>
        <w:t>A 38-year-old G3P3, NSVDx1 and CSx1 for twin pregnancy with worsening chronic pelvic pain. Previous history of laparoscopic ablation of endometriosis 10 years ago. MRI demonstrated adenomyosis, deeply infiltrated endometriosis and intrapelvic adhesions. Robotic transvaginal NOTES hysterectomy has been demonstrated to be feasible and safe in the surgical management of benign gynecology disease compared to traditional NOTES hysterectomy; however, it can be technically challenging to perform, particularly in managing of additional deep infiltrated endometriosis removal surgery after hysterectomy. The researches demonstrated that robotic vNOTES surgeries are feasible in complex benign gynecologic procedures such as endometriosis and sacrocolpopexy[1-3]. The robotic wristed instruments with 3-D visualization resulting in delicate tissue dissection and easier suturing and knot tying, are beneficial to surgeons for overcoming the cumbersome surgical techniques in transvaginal NOTES complete endometriosis removal[4,5]. Integration of robotic transvaginal single site surgery and resection of DIE is a novel alternative minimally invasive route that is more cosmetic and less painful. The procedure was successfully performed in approximately 200 minutes with unevenly postoperative recovery. The patient was discharged home the same day. Her pain level was 7/10 in the first week, 5/10 in the second week, 2/10 in the third week. Pathology confirmed uterine adenomyosis, endometriosis in the right ureteral, right uterine artery pedicle, and rectum with muscular propria involvement.</w:t>
      </w:r>
    </w:p>
    <w:p w14:paraId="37153E22" w14:textId="77777777" w:rsidR="00F10855" w:rsidRDefault="00F10855" w:rsidP="00F10855">
      <w:pPr>
        <w:pStyle w:val="NormalWeb"/>
        <w:shd w:val="clear" w:color="auto" w:fill="FFFFFF"/>
        <w:rPr>
          <w:rFonts w:ascii="Segoe UI" w:hAnsi="Segoe UI" w:cs="Segoe UI"/>
          <w:color w:val="212121"/>
        </w:rPr>
      </w:pPr>
      <w:r>
        <w:rPr>
          <w:rStyle w:val="Strong"/>
          <w:rFonts w:ascii="Segoe UI" w:hAnsi="Segoe UI" w:cs="Segoe UI"/>
          <w:color w:val="212121"/>
        </w:rPr>
        <w:t>Conclusion: </w:t>
      </w:r>
      <w:r>
        <w:rPr>
          <w:rFonts w:ascii="Segoe UI" w:hAnsi="Segoe UI" w:cs="Segoe UI"/>
          <w:color w:val="212121"/>
        </w:rPr>
        <w:t>Robotic transvaginal NOTES for deeply invasive endometriosis is challenging but feasible in patients with parametrial and rectal involvement; The advantages of articulating instrumentation and 3-D visualization are especially pivotal in complex transvaginal NOTES surgery.</w:t>
      </w:r>
    </w:p>
    <w:p w14:paraId="44FD82AE" w14:textId="77777777" w:rsidR="00F10855" w:rsidRDefault="00F10855" w:rsidP="00F10855">
      <w:pPr>
        <w:pStyle w:val="NormalWeb"/>
        <w:shd w:val="clear" w:color="auto" w:fill="FFFFFF"/>
        <w:rPr>
          <w:rFonts w:ascii="Segoe UI" w:hAnsi="Segoe UI" w:cs="Segoe UI"/>
          <w:color w:val="212121"/>
        </w:rPr>
      </w:pPr>
      <w:r>
        <w:rPr>
          <w:rStyle w:val="Strong"/>
          <w:rFonts w:ascii="Segoe UI" w:hAnsi="Segoe UI" w:cs="Segoe UI"/>
          <w:color w:val="212121"/>
        </w:rPr>
        <w:lastRenderedPageBreak/>
        <w:t>Keywords: </w:t>
      </w:r>
      <w:r>
        <w:rPr>
          <w:rFonts w:ascii="Segoe UI" w:hAnsi="Segoe UI" w:cs="Segoe UI"/>
          <w:color w:val="212121"/>
        </w:rPr>
        <w:t>Deeply invasive endometriosis; Endometriosis; Robotic; Robotic transvaginal Single-Site; bowel endometriosis.</w:t>
      </w:r>
    </w:p>
    <w:p w14:paraId="4C8B2F5E" w14:textId="77777777" w:rsidR="00F10855" w:rsidRDefault="00F10855" w:rsidP="00F10855">
      <w:pPr>
        <w:pStyle w:val="copyright"/>
        <w:shd w:val="clear" w:color="auto" w:fill="FFFFFF"/>
        <w:rPr>
          <w:rFonts w:ascii="Segoe UI" w:hAnsi="Segoe UI" w:cs="Segoe UI"/>
          <w:color w:val="212121"/>
        </w:rPr>
      </w:pPr>
      <w:r>
        <w:rPr>
          <w:rFonts w:ascii="Segoe UI" w:hAnsi="Segoe UI" w:cs="Segoe UI"/>
          <w:color w:val="212121"/>
        </w:rPr>
        <w:t>Copyright © 2021. Published by Elsevier Inc.</w:t>
      </w:r>
    </w:p>
    <w:p w14:paraId="51B12CCD" w14:textId="77777777" w:rsidR="00852BED" w:rsidRDefault="00852BED"/>
    <w:sectPr w:rsidR="00852BED">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Merriweather">
    <w:panose1 w:val="00000500000000000000"/>
    <w:charset w:val="4D"/>
    <w:family w:val="auto"/>
    <w:pitch w:val="variable"/>
    <w:sig w:usb0="20000207" w:usb1="00000002" w:usb2="00000000" w:usb3="00000000" w:csb0="00000197"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4524440"/>
    <w:multiLevelType w:val="hybridMultilevel"/>
    <w:tmpl w:val="20D6FC8A"/>
    <w:lvl w:ilvl="0" w:tplc="42BA607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10855"/>
    <w:rsid w:val="000103D1"/>
    <w:rsid w:val="00016D92"/>
    <w:rsid w:val="0004655A"/>
    <w:rsid w:val="00085D85"/>
    <w:rsid w:val="000911C6"/>
    <w:rsid w:val="0009365F"/>
    <w:rsid w:val="00165008"/>
    <w:rsid w:val="00364F02"/>
    <w:rsid w:val="00523748"/>
    <w:rsid w:val="005E1977"/>
    <w:rsid w:val="00627A86"/>
    <w:rsid w:val="006419FC"/>
    <w:rsid w:val="00772B32"/>
    <w:rsid w:val="007A061C"/>
    <w:rsid w:val="007F31DC"/>
    <w:rsid w:val="00852BED"/>
    <w:rsid w:val="009F33F4"/>
    <w:rsid w:val="00A16744"/>
    <w:rsid w:val="00A80B37"/>
    <w:rsid w:val="00BC5051"/>
    <w:rsid w:val="00BC6850"/>
    <w:rsid w:val="00C275F8"/>
    <w:rsid w:val="00CA0ECB"/>
    <w:rsid w:val="00CA1A8E"/>
    <w:rsid w:val="00CB574B"/>
    <w:rsid w:val="00CB5B2F"/>
    <w:rsid w:val="00CE09C4"/>
    <w:rsid w:val="00D86657"/>
    <w:rsid w:val="00DD3612"/>
    <w:rsid w:val="00F10855"/>
    <w:rsid w:val="00F473E1"/>
    <w:rsid w:val="00F639C4"/>
    <w:rsid w:val="00F7651B"/>
    <w:rsid w:val="00F76DEF"/>
    <w:rsid w:val="00FE1ED6"/>
  </w:rsids>
  <m:mathPr>
    <m:mathFont m:val="Cambria Math"/>
    <m:brkBin m:val="before"/>
    <m:brkBinSub m:val="--"/>
    <m:smallFrac m:val="0"/>
    <m:dispDef/>
    <m:lMargin m:val="0"/>
    <m:rMargin m:val="0"/>
    <m:defJc m:val="centerGroup"/>
    <m:wrapIndent m:val="1440"/>
    <m:intLim m:val="subSup"/>
    <m:naryLim m:val="undOvr"/>
  </m:mathPr>
  <w:themeFontLang w:val="en-TR"/>
  <w:clrSchemeMapping w:bg1="light1" w:t1="dark1" w:bg2="light2" w:t2="dark2" w:accent1="accent1" w:accent2="accent2" w:accent3="accent3" w:accent4="accent4" w:accent5="accent5" w:accent6="accent6" w:hyperlink="hyperlink" w:followedHyperlink="followedHyperlink"/>
  <w:decimalSymbol w:val=","/>
  <w:listSeparator w:val=","/>
  <w14:docId w14:val="384FD7CD"/>
  <w15:chartTrackingRefBased/>
  <w15:docId w15:val="{8EAD92C9-A15C-8E40-A1CD-6B612C6772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TR"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10855"/>
  </w:style>
  <w:style w:type="paragraph" w:styleId="Heading2">
    <w:name w:val="heading 2"/>
    <w:basedOn w:val="Normal"/>
    <w:link w:val="Heading2Char"/>
    <w:uiPriority w:val="9"/>
    <w:qFormat/>
    <w:rsid w:val="00F10855"/>
    <w:pPr>
      <w:spacing w:before="100" w:beforeAutospacing="1" w:after="100" w:afterAutospacing="1"/>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F10855"/>
    <w:rPr>
      <w:rFonts w:ascii="Times New Roman" w:eastAsia="Times New Roman" w:hAnsi="Times New Roman" w:cs="Times New Roman"/>
      <w:b/>
      <w:bCs/>
      <w:sz w:val="36"/>
      <w:szCs w:val="36"/>
    </w:rPr>
  </w:style>
  <w:style w:type="paragraph" w:styleId="NormalWeb">
    <w:name w:val="Normal (Web)"/>
    <w:basedOn w:val="Normal"/>
    <w:uiPriority w:val="99"/>
    <w:unhideWhenUsed/>
    <w:rsid w:val="00F10855"/>
    <w:pPr>
      <w:spacing w:before="100" w:beforeAutospacing="1" w:after="100" w:afterAutospacing="1"/>
    </w:pPr>
    <w:rPr>
      <w:rFonts w:ascii="Times New Roman" w:eastAsia="Times New Roman" w:hAnsi="Times New Roman" w:cs="Times New Roman"/>
    </w:rPr>
  </w:style>
  <w:style w:type="character" w:styleId="Strong">
    <w:name w:val="Strong"/>
    <w:basedOn w:val="DefaultParagraphFont"/>
    <w:uiPriority w:val="22"/>
    <w:qFormat/>
    <w:rsid w:val="00F10855"/>
    <w:rPr>
      <w:b/>
      <w:bCs/>
    </w:rPr>
  </w:style>
  <w:style w:type="paragraph" w:customStyle="1" w:styleId="copyright">
    <w:name w:val="copyright"/>
    <w:basedOn w:val="Normal"/>
    <w:rsid w:val="00F10855"/>
    <w:pPr>
      <w:spacing w:before="100" w:beforeAutospacing="1" w:after="100" w:afterAutospacing="1"/>
    </w:pPr>
    <w:rPr>
      <w:rFonts w:ascii="Times New Roman" w:eastAsia="Times New Roman" w:hAnsi="Times New Roman" w:cs="Times New Roman"/>
    </w:rPr>
  </w:style>
  <w:style w:type="paragraph" w:styleId="ListParagraph">
    <w:name w:val="List Paragraph"/>
    <w:basedOn w:val="Normal"/>
    <w:uiPriority w:val="34"/>
    <w:qFormat/>
    <w:rsid w:val="00F1085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pubmed.ncbi.nlm.nih.gov/34871771/"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413</Words>
  <Characters>2359</Characters>
  <Application>Microsoft Office Word</Application>
  <DocSecurity>0</DocSecurity>
  <Lines>19</Lines>
  <Paragraphs>5</Paragraphs>
  <ScaleCrop>false</ScaleCrop>
  <Company/>
  <LinksUpToDate>false</LinksUpToDate>
  <CharactersWithSpaces>2767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Ezgi Darıcı</dc:creator>
  <cp:keywords/>
  <dc:description/>
  <cp:lastModifiedBy>Ezgi Darıcı</cp:lastModifiedBy>
  <cp:revision>1</cp:revision>
  <dcterms:created xsi:type="dcterms:W3CDTF">2022-01-24T10:55:00Z</dcterms:created>
  <dcterms:modified xsi:type="dcterms:W3CDTF">2022-01-24T10:55:00Z</dcterms:modified>
</cp:coreProperties>
</file>