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916EB" w14:textId="77777777" w:rsidR="00AC044D" w:rsidRPr="003B7035" w:rsidRDefault="00AC044D" w:rsidP="00AC044D">
      <w:pPr>
        <w:pStyle w:val="ListParagraph"/>
        <w:numPr>
          <w:ilvl w:val="0"/>
          <w:numId w:val="1"/>
        </w:numPr>
        <w:shd w:val="clear" w:color="auto" w:fill="FFFFFF"/>
        <w:rPr>
          <w:rFonts w:ascii="Segoe UI" w:eastAsia="Times New Roman" w:hAnsi="Segoe UI" w:cs="Segoe UI"/>
          <w:color w:val="212121"/>
        </w:rPr>
      </w:pPr>
      <w:hyperlink r:id="rId5" w:history="1">
        <w:r w:rsidRPr="003B7035">
          <w:rPr>
            <w:rFonts w:ascii="Segoe UI" w:eastAsia="Times New Roman" w:hAnsi="Segoe UI" w:cs="Segoe UI"/>
            <w:color w:val="0071BC"/>
          </w:rPr>
          <w:t>Effects of iron-related compounds and bilirubin on redox homeostasis in </w:t>
        </w:r>
        <w:r w:rsidRPr="003B7035">
          <w:rPr>
            <w:rFonts w:ascii="Segoe UI" w:eastAsia="Times New Roman" w:hAnsi="Segoe UI" w:cs="Segoe UI"/>
            <w:b/>
            <w:bCs/>
            <w:color w:val="0071BC"/>
          </w:rPr>
          <w:t>endometriosis</w:t>
        </w:r>
        <w:r w:rsidRPr="003B7035">
          <w:rPr>
            <w:rFonts w:ascii="Segoe UI" w:eastAsia="Times New Roman" w:hAnsi="Segoe UI" w:cs="Segoe UI"/>
            <w:color w:val="0071BC"/>
          </w:rPr>
          <w:t> and its malignant transformations.</w:t>
        </w:r>
      </w:hyperlink>
    </w:p>
    <w:p w14:paraId="1A30ECD2" w14:textId="77777777" w:rsidR="00AC044D" w:rsidRPr="00A71D3B" w:rsidRDefault="00AC044D" w:rsidP="00AC044D">
      <w:pPr>
        <w:shd w:val="clear" w:color="auto" w:fill="FFFFFF"/>
        <w:rPr>
          <w:rFonts w:ascii="Segoe UI" w:eastAsia="Times New Roman" w:hAnsi="Segoe UI" w:cs="Segoe UI"/>
          <w:color w:val="4D8055"/>
        </w:rPr>
      </w:pPr>
      <w:r w:rsidRPr="00A71D3B">
        <w:rPr>
          <w:rFonts w:ascii="Segoe UI" w:eastAsia="Times New Roman" w:hAnsi="Segoe UI" w:cs="Segoe UI"/>
          <w:color w:val="212121"/>
        </w:rPr>
        <w:t>Shigetomi H, Imanaka S, Kobayashi H.</w:t>
      </w:r>
      <w:r w:rsidRPr="00A71D3B">
        <w:rPr>
          <w:rFonts w:ascii="Segoe UI" w:eastAsia="Times New Roman" w:hAnsi="Segoe UI" w:cs="Segoe UI"/>
          <w:color w:val="4D8055"/>
        </w:rPr>
        <w:t>Horm Mol Biol Clin Investig. 2021 Dec 2. doi: 10.1515/hmbci-2021-0065. Online ahead of print.PMID: 34854656</w:t>
      </w:r>
    </w:p>
    <w:p w14:paraId="61F9F7A6" w14:textId="77777777" w:rsidR="00AC044D" w:rsidRDefault="00AC044D" w:rsidP="00AC044D">
      <w:pPr>
        <w:shd w:val="clear" w:color="auto" w:fill="FFFFFF"/>
        <w:rPr>
          <w:rFonts w:ascii="Segoe UI" w:eastAsia="Times New Roman" w:hAnsi="Segoe UI" w:cs="Segoe UI"/>
          <w:color w:val="212121"/>
        </w:rPr>
      </w:pPr>
    </w:p>
    <w:p w14:paraId="4D9E8075" w14:textId="77777777" w:rsidR="00AC044D" w:rsidRDefault="00AC044D" w:rsidP="00AC044D">
      <w:pPr>
        <w:pStyle w:val="Heading2"/>
        <w:shd w:val="clear" w:color="auto" w:fill="FFFFFF"/>
        <w:rPr>
          <w:rFonts w:ascii="Merriweather" w:hAnsi="Merriweather"/>
          <w:color w:val="212121"/>
        </w:rPr>
      </w:pPr>
      <w:r>
        <w:rPr>
          <w:rFonts w:ascii="Merriweather" w:hAnsi="Merriweather"/>
          <w:color w:val="212121"/>
        </w:rPr>
        <w:t>Abstract</w:t>
      </w:r>
    </w:p>
    <w:p w14:paraId="54B2EA96" w14:textId="77777777" w:rsidR="00AC044D" w:rsidRDefault="00AC044D" w:rsidP="00AC044D">
      <w:pPr>
        <w:pStyle w:val="NormalWeb"/>
        <w:shd w:val="clear" w:color="auto" w:fill="FFFFFF"/>
        <w:rPr>
          <w:rFonts w:ascii="Segoe UI" w:hAnsi="Segoe UI" w:cs="Segoe UI"/>
          <w:color w:val="212121"/>
        </w:rPr>
      </w:pPr>
      <w:r>
        <w:rPr>
          <w:rStyle w:val="Strong"/>
          <w:rFonts w:ascii="Segoe UI" w:hAnsi="Segoe UI" w:cs="Segoe UI"/>
          <w:color w:val="212121"/>
        </w:rPr>
        <w:t>Objectives: </w:t>
      </w:r>
      <w:r>
        <w:rPr>
          <w:rFonts w:ascii="Segoe UI" w:hAnsi="Segoe UI" w:cs="Segoe UI"/>
          <w:color w:val="212121"/>
        </w:rPr>
        <w:t>The balance between oxidative stress and antioxidant defense has been reported to differ between women with endometriosis and patients with its malignant transformation. The aim of this study is to investigate changes in redox balance in endometriosis and endometriosis-related ovarian cancer (EAOC) by simultaneously measuring iron-related compounds and bilirubin.</w:t>
      </w:r>
    </w:p>
    <w:p w14:paraId="6EDE4D6A" w14:textId="77777777" w:rsidR="00AC044D" w:rsidRDefault="00AC044D" w:rsidP="00AC044D">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This study included 235 patients with a histopathologically confirmed diagnosis of endometriosis (n=178) and EAOC (n=57). Cyst fluid samples were collected in Nara Medical University hospital from January 2013 to May 2019. The levels of iron-related compounds (total iron, heme iron, free iron, oxyhemoglobin [oxyHb], methemoglobin [metHb], and metHb/oxyHb ratio) and bilirubin were measured.</w:t>
      </w:r>
    </w:p>
    <w:p w14:paraId="614CBBF0" w14:textId="77777777" w:rsidR="00AC044D" w:rsidRDefault="00AC044D" w:rsidP="00AC044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Total iron, heme iron, free iron, metHb/oxyHb ratio, and bilirubin were significantly elevated in endometriosis compared to EAOC. In both endometriosis and EAOC, iron-related compounds in the cyst were correlated with each other. There was no statistically significant difference in oxyHb and metHb levels between the two groups, but the metHb/oxyHb ratio was significantly higher in endometriosis than in EAOC. Bilirubin was positively correlated with total iron and free iron in EAOC, but there was no correlation between bilirubin and iron-related compounds in endometriosis.</w:t>
      </w:r>
    </w:p>
    <w:p w14:paraId="57D2DDB2" w14:textId="77777777" w:rsidR="00AC044D" w:rsidRDefault="00AC044D" w:rsidP="00AC044D">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Iron-induced oxidative stress in endometriosis may exceed bilirubin-dependent antioxidant capability, while redox homeostasis in EAOC can be maintained by at least bilirubin.</w:t>
      </w:r>
    </w:p>
    <w:p w14:paraId="4F8FEB00" w14:textId="77777777" w:rsidR="00AC044D" w:rsidRDefault="00AC044D" w:rsidP="00AC044D">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antioxidant; bilirubin; endometriosis; endometriosis-associated ovarian cancer; oxidative stress.</w:t>
      </w:r>
    </w:p>
    <w:p w14:paraId="5F374A12"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44D"/>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AC044D"/>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A7A4758"/>
  <w15:chartTrackingRefBased/>
  <w15:docId w15:val="{C682BE16-29BE-674E-9BCE-BF06DDA27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44D"/>
  </w:style>
  <w:style w:type="paragraph" w:styleId="Heading2">
    <w:name w:val="heading 2"/>
    <w:basedOn w:val="Normal"/>
    <w:link w:val="Heading2Char"/>
    <w:uiPriority w:val="9"/>
    <w:qFormat/>
    <w:rsid w:val="00AC044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C044D"/>
    <w:rPr>
      <w:rFonts w:ascii="Times New Roman" w:eastAsia="Times New Roman" w:hAnsi="Times New Roman" w:cs="Times New Roman"/>
      <w:b/>
      <w:bCs/>
      <w:sz w:val="36"/>
      <w:szCs w:val="36"/>
    </w:rPr>
  </w:style>
  <w:style w:type="paragraph" w:styleId="NormalWeb">
    <w:name w:val="Normal (Web)"/>
    <w:basedOn w:val="Normal"/>
    <w:uiPriority w:val="99"/>
    <w:unhideWhenUsed/>
    <w:rsid w:val="00AC044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AC044D"/>
    <w:rPr>
      <w:b/>
      <w:bCs/>
    </w:rPr>
  </w:style>
  <w:style w:type="paragraph" w:styleId="ListParagraph">
    <w:name w:val="List Paragraph"/>
    <w:basedOn w:val="Normal"/>
    <w:uiPriority w:val="34"/>
    <w:qFormat/>
    <w:rsid w:val="00AC0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5465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1700</Characters>
  <Application>Microsoft Office Word</Application>
  <DocSecurity>0</DocSecurity>
  <Lines>14</Lines>
  <Paragraphs>3</Paragraphs>
  <ScaleCrop>false</ScaleCrop>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2022-01-24T11:03:00Z</dcterms:created>
  <dcterms:modified xsi:type="dcterms:W3CDTF">2022-01-24T11:03:00Z</dcterms:modified>
</cp:coreProperties>
</file>