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D7EBD" w14:textId="77777777" w:rsidR="0045781C" w:rsidRDefault="0045781C" w:rsidP="0045781C">
      <w:pPr>
        <w:pStyle w:val="NormalWeb"/>
      </w:pPr>
      <w:r>
        <w:rPr>
          <w:rFonts w:ascii="Arial" w:hAnsi="Arial" w:cs="Arial"/>
          <w:b/>
          <w:bCs/>
          <w:color w:val="FF0000"/>
        </w:rPr>
        <w:t xml:space="preserve">13.P1 promoter IGF-1 polymorphism and IGF-1, IGF-R, LSF, and TSG 101 expression profile in endometriosis </w:t>
      </w:r>
    </w:p>
    <w:p w14:paraId="1EB3DA13" w14:textId="77777777" w:rsidR="0045781C" w:rsidRDefault="0045781C" w:rsidP="0045781C">
      <w:pPr>
        <w:pStyle w:val="NormalWeb"/>
      </w:pPr>
      <w:r>
        <w:rPr>
          <w:rFonts w:ascii="Arial" w:hAnsi="Arial" w:cs="Arial"/>
          <w:b/>
          <w:bCs/>
          <w:color w:val="FF0000"/>
        </w:rPr>
        <w:t xml:space="preserve">Wojciech Kwasniewski </w:t>
      </w:r>
      <w:r>
        <w:rPr>
          <w:rFonts w:ascii="Arial" w:hAnsi="Arial" w:cs="Arial"/>
          <w:b/>
          <w:bCs/>
          <w:color w:val="FF0000"/>
          <w:position w:val="8"/>
          <w:sz w:val="16"/>
          <w:szCs w:val="16"/>
        </w:rPr>
        <w:t>1</w:t>
      </w:r>
      <w:r>
        <w:rPr>
          <w:rFonts w:ascii="Arial" w:hAnsi="Arial" w:cs="Arial"/>
          <w:b/>
          <w:bCs/>
          <w:color w:val="FF0000"/>
        </w:rPr>
        <w:t xml:space="preserve">, Aleksandra Stupak </w:t>
      </w:r>
      <w:r>
        <w:rPr>
          <w:rFonts w:ascii="Arial" w:hAnsi="Arial" w:cs="Arial"/>
          <w:b/>
          <w:bCs/>
          <w:color w:val="FF0000"/>
          <w:position w:val="8"/>
          <w:sz w:val="16"/>
          <w:szCs w:val="16"/>
        </w:rPr>
        <w:t>2</w:t>
      </w:r>
      <w:r>
        <w:rPr>
          <w:rFonts w:ascii="Arial" w:hAnsi="Arial" w:cs="Arial"/>
          <w:b/>
          <w:bCs/>
          <w:color w:val="FF0000"/>
        </w:rPr>
        <w:t xml:space="preserve">, Maria </w:t>
      </w:r>
      <w:proofErr w:type="spellStart"/>
      <w:r>
        <w:rPr>
          <w:rFonts w:ascii="Arial" w:hAnsi="Arial" w:cs="Arial"/>
          <w:b/>
          <w:bCs/>
          <w:color w:val="FF0000"/>
        </w:rPr>
        <w:t>Wolun</w:t>
      </w:r>
      <w:proofErr w:type="spellEnd"/>
      <w:r>
        <w:rPr>
          <w:rFonts w:ascii="Arial" w:hAnsi="Arial" w:cs="Arial"/>
          <w:b/>
          <w:bCs/>
          <w:color w:val="FF0000"/>
        </w:rPr>
        <w:t>-</w:t>
      </w:r>
      <w:r>
        <w:rPr>
          <w:rFonts w:ascii="Arial" w:hAnsi="Arial" w:cs="Arial"/>
          <w:b/>
          <w:bCs/>
          <w:color w:val="FF0000"/>
        </w:rPr>
        <w:br/>
      </w:r>
      <w:proofErr w:type="spellStart"/>
      <w:r>
        <w:rPr>
          <w:rFonts w:ascii="Arial" w:hAnsi="Arial" w:cs="Arial"/>
          <w:b/>
          <w:bCs/>
          <w:color w:val="FF0000"/>
        </w:rPr>
        <w:t>Cholewa</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rPr>
        <w:t xml:space="preserve">, Agnieszka </w:t>
      </w:r>
      <w:proofErr w:type="spellStart"/>
      <w:r>
        <w:rPr>
          <w:rFonts w:ascii="Arial" w:hAnsi="Arial" w:cs="Arial"/>
          <w:b/>
          <w:bCs/>
          <w:color w:val="FF0000"/>
        </w:rPr>
        <w:t>Fronczek</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Anna </w:t>
      </w:r>
      <w:proofErr w:type="spellStart"/>
      <w:r>
        <w:rPr>
          <w:rFonts w:ascii="Arial" w:hAnsi="Arial" w:cs="Arial"/>
          <w:b/>
          <w:bCs/>
          <w:color w:val="FF0000"/>
        </w:rPr>
        <w:t>Kwasniewska</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Jan</w:t>
      </w:r>
      <w:r>
        <w:rPr>
          <w:rFonts w:ascii="Arial" w:hAnsi="Arial" w:cs="Arial"/>
          <w:b/>
          <w:bCs/>
          <w:color w:val="FF0000"/>
        </w:rPr>
        <w:br/>
      </w:r>
      <w:proofErr w:type="spellStart"/>
      <w:r>
        <w:rPr>
          <w:rFonts w:ascii="Arial" w:hAnsi="Arial" w:cs="Arial"/>
          <w:b/>
          <w:bCs/>
          <w:color w:val="FF0000"/>
        </w:rPr>
        <w:t>Kotarski</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Grzegorz </w:t>
      </w:r>
      <w:proofErr w:type="spellStart"/>
      <w:r>
        <w:rPr>
          <w:rFonts w:ascii="Arial" w:hAnsi="Arial" w:cs="Arial"/>
          <w:b/>
          <w:bCs/>
          <w:color w:val="FF0000"/>
        </w:rPr>
        <w:t>Polak</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Anna </w:t>
      </w:r>
      <w:proofErr w:type="spellStart"/>
      <w:r>
        <w:rPr>
          <w:rFonts w:ascii="Arial" w:hAnsi="Arial" w:cs="Arial"/>
          <w:b/>
          <w:bCs/>
          <w:color w:val="FF0000"/>
        </w:rPr>
        <w:t>Gozdzicka-Jozefiak</w:t>
      </w:r>
      <w:proofErr w:type="spellEnd"/>
      <w:r>
        <w:rPr>
          <w:rFonts w:ascii="Arial" w:hAnsi="Arial" w:cs="Arial"/>
          <w:b/>
          <w:bCs/>
          <w:color w:val="FF0000"/>
        </w:rPr>
        <w:t xml:space="preserve"> </w:t>
      </w:r>
      <w:r>
        <w:rPr>
          <w:rFonts w:ascii="Arial" w:hAnsi="Arial" w:cs="Arial"/>
          <w:b/>
          <w:bCs/>
          <w:color w:val="FF0000"/>
          <w:position w:val="8"/>
          <w:sz w:val="16"/>
          <w:szCs w:val="16"/>
        </w:rPr>
        <w:t>6</w:t>
      </w:r>
      <w:r>
        <w:rPr>
          <w:rFonts w:ascii="Arial" w:hAnsi="Arial" w:cs="Arial"/>
          <w:b/>
          <w:bCs/>
          <w:color w:val="FF0000"/>
          <w:position w:val="8"/>
          <w:sz w:val="16"/>
          <w:szCs w:val="16"/>
        </w:rPr>
        <w:br/>
      </w:r>
      <w:proofErr w:type="spellStart"/>
      <w:r>
        <w:rPr>
          <w:rFonts w:ascii="Arial" w:hAnsi="Arial" w:cs="Arial"/>
          <w:b/>
          <w:bCs/>
          <w:color w:val="FF0000"/>
        </w:rPr>
        <w:t>Ginekol</w:t>
      </w:r>
      <w:proofErr w:type="spellEnd"/>
      <w:r>
        <w:rPr>
          <w:rFonts w:ascii="Arial" w:hAnsi="Arial" w:cs="Arial"/>
          <w:b/>
          <w:bCs/>
          <w:color w:val="FF0000"/>
        </w:rPr>
        <w:t xml:space="preserve"> Pol. 2022 Jan 24.doi: 10.5603/</w:t>
      </w:r>
      <w:proofErr w:type="gramStart"/>
      <w:r>
        <w:rPr>
          <w:rFonts w:ascii="Arial" w:hAnsi="Arial" w:cs="Arial"/>
          <w:b/>
          <w:bCs/>
          <w:color w:val="FF0000"/>
        </w:rPr>
        <w:t>GP.a</w:t>
      </w:r>
      <w:proofErr w:type="gramEnd"/>
      <w:r>
        <w:rPr>
          <w:rFonts w:ascii="Arial" w:hAnsi="Arial" w:cs="Arial"/>
          <w:b/>
          <w:bCs/>
          <w:color w:val="FF0000"/>
        </w:rPr>
        <w:t xml:space="preserve">2021.0210. Online ahead of print. </w:t>
      </w:r>
    </w:p>
    <w:p w14:paraId="74C1D454" w14:textId="77777777" w:rsidR="0045781C" w:rsidRDefault="0045781C" w:rsidP="0045781C">
      <w:pPr>
        <w:pStyle w:val="NormalWeb"/>
      </w:pPr>
      <w:r>
        <w:rPr>
          <w:rFonts w:ascii="ArialMT" w:hAnsi="ArialMT"/>
        </w:rPr>
        <w:t xml:space="preserve">Abstract </w:t>
      </w:r>
    </w:p>
    <w:p w14:paraId="4AFB9B04" w14:textId="77777777" w:rsidR="0045781C" w:rsidRDefault="0045781C" w:rsidP="0045781C">
      <w:pPr>
        <w:pStyle w:val="NormalWeb"/>
      </w:pPr>
      <w:r>
        <w:rPr>
          <w:rFonts w:ascii="ArialMT" w:hAnsi="ArialMT"/>
        </w:rPr>
        <w:t xml:space="preserve">Objectives: The presence of the endometrium outside the uterine cavity affects about 10% of women of childbearing age. Studies of the progression of endometriosis to cancer have been supported by numerous </w:t>
      </w:r>
      <w:proofErr w:type="gramStart"/>
      <w:r>
        <w:rPr>
          <w:rFonts w:ascii="ArialMT" w:hAnsi="ArialMT"/>
        </w:rPr>
        <w:t>evidences</w:t>
      </w:r>
      <w:proofErr w:type="gramEnd"/>
      <w:r>
        <w:rPr>
          <w:rFonts w:ascii="ArialMT" w:hAnsi="ArialMT"/>
        </w:rPr>
        <w:t xml:space="preserve"> of gene expression or gene defect caused by oxidative stress and inflammation. We decided to check the expression of selected factors responsible for the proliferation, as in the stages of neoplasia. </w:t>
      </w:r>
    </w:p>
    <w:p w14:paraId="3176D613" w14:textId="77777777" w:rsidR="0045781C" w:rsidRDefault="0045781C" w:rsidP="0045781C">
      <w:pPr>
        <w:pStyle w:val="NormalWeb"/>
      </w:pPr>
      <w:r>
        <w:rPr>
          <w:rFonts w:ascii="ArialMT" w:hAnsi="ArialMT"/>
        </w:rPr>
        <w:t xml:space="preserve">Material and methods: A group of 80 women with ovary localization of endometriosis was qualified for research. The control group was 90 patients with ovarian simplex or follicular cysts. The DNA isolation, immunohistochemical analysis of IGF 1, IGF-R, TSG 101, and LSF expressions with a quantitative scoring of slides and electron microscopy was performed. </w:t>
      </w:r>
    </w:p>
    <w:p w14:paraId="36FF66C7" w14:textId="77777777" w:rsidR="0045781C" w:rsidRDefault="0045781C" w:rsidP="0045781C">
      <w:pPr>
        <w:pStyle w:val="NormalWeb"/>
      </w:pPr>
      <w:r>
        <w:rPr>
          <w:rFonts w:ascii="ArialMT" w:hAnsi="ArialMT"/>
        </w:rPr>
        <w:t>Results: The IGF-1-immunopositive cells in the reference group were in statistically significantly higher number compared to the cells forming the foci of endometriosis (p = 0.0282). However, the number of IGF-R-</w:t>
      </w:r>
      <w:proofErr w:type="spellStart"/>
      <w:r>
        <w:rPr>
          <w:rFonts w:ascii="ArialMT" w:hAnsi="ArialMT"/>
        </w:rPr>
        <w:t>immunopositive</w:t>
      </w:r>
      <w:proofErr w:type="spellEnd"/>
      <w:r>
        <w:rPr>
          <w:rFonts w:ascii="ArialMT" w:hAnsi="ArialMT"/>
        </w:rPr>
        <w:t xml:space="preserve"> cells was comparable to the endometriosis (p = 0.1264). In the control group, the number of LSF- </w:t>
      </w:r>
      <w:proofErr w:type="spellStart"/>
      <w:r>
        <w:rPr>
          <w:rFonts w:ascii="ArialMT" w:hAnsi="ArialMT"/>
        </w:rPr>
        <w:t>immunopositive</w:t>
      </w:r>
      <w:proofErr w:type="spellEnd"/>
      <w:r>
        <w:rPr>
          <w:rFonts w:ascii="ArialMT" w:hAnsi="ArialMT"/>
        </w:rPr>
        <w:t xml:space="preserve"> cells was statistically significantly higher in comparison to endometriosis foci (p = 0.000001), but the number of TSG 101-immunositive cells was comparable to endometriosis foci (p = 0.3834). A weak negative correlation between the number of cells expressing the TSG 101 factor and the IGF-1 receptor was found in the endometriosis group (r = -0.26, p = 0.0196). The analysis of CA single nucleotide polymorphism in the DNA isolated from both groups showed a comparable incidence of MSS and MSI-L genotypes (chi2 p = 0,9160). </w:t>
      </w:r>
    </w:p>
    <w:p w14:paraId="7F16ABE4" w14:textId="77777777" w:rsidR="0045781C" w:rsidRDefault="0045781C" w:rsidP="0045781C">
      <w:pPr>
        <w:pStyle w:val="NormalWeb"/>
      </w:pPr>
      <w:r>
        <w:rPr>
          <w:rFonts w:ascii="ArialMT" w:hAnsi="ArialMT"/>
        </w:rPr>
        <w:t xml:space="preserve">Conclusions: How these factors affect the development of endometriosis and whether they could be helpful in the diagnosis requires further research. </w:t>
      </w:r>
    </w:p>
    <w:p w14:paraId="23CD5499" w14:textId="77777777" w:rsidR="0045781C" w:rsidRDefault="0045781C" w:rsidP="0045781C">
      <w:pPr>
        <w:pStyle w:val="NormalWeb"/>
      </w:pPr>
      <w:r>
        <w:rPr>
          <w:rFonts w:ascii="ArialMT" w:hAnsi="ArialMT"/>
        </w:rPr>
        <w:t xml:space="preserve">Keywords: IGF-; IGF-I CA (19)n P1IGF-I repeats; LSF; TSG 100; endometriosis; molecular biology. </w:t>
      </w:r>
    </w:p>
    <w:p w14:paraId="2593D7F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81C"/>
    <w:rsid w:val="00432D50"/>
    <w:rsid w:val="0045781C"/>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F981D2"/>
  <w15:chartTrackingRefBased/>
  <w15:docId w15:val="{91F56625-0BA5-9740-8017-C17C881A9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781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4278176">
      <w:bodyDiv w:val="1"/>
      <w:marLeft w:val="0"/>
      <w:marRight w:val="0"/>
      <w:marTop w:val="0"/>
      <w:marBottom w:val="0"/>
      <w:divBdr>
        <w:top w:val="none" w:sz="0" w:space="0" w:color="auto"/>
        <w:left w:val="none" w:sz="0" w:space="0" w:color="auto"/>
        <w:bottom w:val="none" w:sz="0" w:space="0" w:color="auto"/>
        <w:right w:val="none" w:sz="0" w:space="0" w:color="auto"/>
      </w:divBdr>
      <w:divsChild>
        <w:div w:id="279920010">
          <w:marLeft w:val="0"/>
          <w:marRight w:val="0"/>
          <w:marTop w:val="0"/>
          <w:marBottom w:val="0"/>
          <w:divBdr>
            <w:top w:val="none" w:sz="0" w:space="0" w:color="auto"/>
            <w:left w:val="none" w:sz="0" w:space="0" w:color="auto"/>
            <w:bottom w:val="none" w:sz="0" w:space="0" w:color="auto"/>
            <w:right w:val="none" w:sz="0" w:space="0" w:color="auto"/>
          </w:divBdr>
          <w:divsChild>
            <w:div w:id="558789654">
              <w:marLeft w:val="0"/>
              <w:marRight w:val="0"/>
              <w:marTop w:val="0"/>
              <w:marBottom w:val="0"/>
              <w:divBdr>
                <w:top w:val="none" w:sz="0" w:space="0" w:color="auto"/>
                <w:left w:val="none" w:sz="0" w:space="0" w:color="auto"/>
                <w:bottom w:val="none" w:sz="0" w:space="0" w:color="auto"/>
                <w:right w:val="none" w:sz="0" w:space="0" w:color="auto"/>
              </w:divBdr>
              <w:divsChild>
                <w:div w:id="90475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2022-02-13T20:15:00Z</dcterms:created>
  <dcterms:modified xsi:type="dcterms:W3CDTF">2022-02-13T20:15:00Z</dcterms:modified>
</cp:coreProperties>
</file>