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01C7D" w14:textId="77777777" w:rsidR="006B2B12" w:rsidRPr="006B2B12" w:rsidRDefault="006B2B12" w:rsidP="006B2B12">
      <w:pPr>
        <w:spacing w:before="100" w:beforeAutospacing="1" w:after="100" w:afterAutospacing="1"/>
        <w:rPr>
          <w:rFonts w:ascii="Times New Roman" w:eastAsia="Times New Roman" w:hAnsi="Times New Roman" w:cs="Times New Roman"/>
          <w:lang w:eastAsia="en-GB"/>
        </w:rPr>
      </w:pPr>
      <w:r w:rsidRPr="006B2B12">
        <w:rPr>
          <w:rFonts w:ascii="Arial" w:eastAsia="Times New Roman" w:hAnsi="Arial" w:cs="Arial"/>
          <w:b/>
          <w:bCs/>
          <w:color w:val="FF0000"/>
          <w:lang w:eastAsia="en-GB"/>
        </w:rPr>
        <w:t xml:space="preserve">15.Effects of endometriosis on immunity and mucosal microbial community dynamics in female olive baboons </w:t>
      </w:r>
    </w:p>
    <w:p w14:paraId="59518F45" w14:textId="77777777" w:rsidR="006B2B12" w:rsidRPr="006B2B12" w:rsidRDefault="006B2B12" w:rsidP="006B2B12">
      <w:pPr>
        <w:spacing w:before="100" w:beforeAutospacing="1" w:after="100" w:afterAutospacing="1"/>
        <w:rPr>
          <w:rFonts w:ascii="Times New Roman" w:eastAsia="Times New Roman" w:hAnsi="Times New Roman" w:cs="Times New Roman"/>
          <w:lang w:eastAsia="en-GB"/>
        </w:rPr>
      </w:pPr>
      <w:r w:rsidRPr="006B2B12">
        <w:rPr>
          <w:rFonts w:ascii="Arial" w:eastAsia="Times New Roman" w:hAnsi="Arial" w:cs="Arial"/>
          <w:b/>
          <w:bCs/>
          <w:color w:val="FF0000"/>
          <w:lang w:eastAsia="en-GB"/>
        </w:rPr>
        <w:t xml:space="preserve">Nhung Le </w:t>
      </w:r>
      <w:r w:rsidRPr="006B2B12">
        <w:rPr>
          <w:rFonts w:ascii="Arial" w:eastAsia="Times New Roman" w:hAnsi="Arial" w:cs="Arial"/>
          <w:b/>
          <w:bCs/>
          <w:color w:val="FF0000"/>
          <w:position w:val="8"/>
          <w:sz w:val="16"/>
          <w:szCs w:val="16"/>
          <w:lang w:eastAsia="en-GB"/>
        </w:rPr>
        <w:t>1</w:t>
      </w:r>
      <w:r w:rsidRPr="006B2B12">
        <w:rPr>
          <w:rFonts w:ascii="Arial" w:eastAsia="Times New Roman" w:hAnsi="Arial" w:cs="Arial"/>
          <w:b/>
          <w:bCs/>
          <w:color w:val="FF0000"/>
          <w:lang w:eastAsia="en-GB"/>
        </w:rPr>
        <w:t xml:space="preserve">, Melissa </w:t>
      </w:r>
      <w:proofErr w:type="spellStart"/>
      <w:r w:rsidRPr="006B2B12">
        <w:rPr>
          <w:rFonts w:ascii="Arial" w:eastAsia="Times New Roman" w:hAnsi="Arial" w:cs="Arial"/>
          <w:b/>
          <w:bCs/>
          <w:color w:val="FF0000"/>
          <w:lang w:eastAsia="en-GB"/>
        </w:rPr>
        <w:t>Cregger</w:t>
      </w:r>
      <w:proofErr w:type="spellEnd"/>
      <w:r w:rsidRPr="006B2B12">
        <w:rPr>
          <w:rFonts w:ascii="Arial" w:eastAsia="Times New Roman" w:hAnsi="Arial" w:cs="Arial"/>
          <w:b/>
          <w:bCs/>
          <w:color w:val="FF0000"/>
          <w:lang w:eastAsia="en-GB"/>
        </w:rPr>
        <w:t xml:space="preserve"> </w:t>
      </w:r>
      <w:r w:rsidRPr="006B2B12">
        <w:rPr>
          <w:rFonts w:ascii="Arial" w:eastAsia="Times New Roman" w:hAnsi="Arial" w:cs="Arial"/>
          <w:b/>
          <w:bCs/>
          <w:color w:val="FF0000"/>
          <w:position w:val="8"/>
          <w:sz w:val="16"/>
          <w:szCs w:val="16"/>
          <w:lang w:eastAsia="en-GB"/>
        </w:rPr>
        <w:t>2</w:t>
      </w:r>
      <w:r w:rsidRPr="006B2B12">
        <w:rPr>
          <w:rFonts w:ascii="Arial" w:eastAsia="Times New Roman" w:hAnsi="Arial" w:cs="Arial"/>
          <w:b/>
          <w:bCs/>
          <w:color w:val="FF0000"/>
          <w:lang w:eastAsia="en-GB"/>
        </w:rPr>
        <w:t xml:space="preserve">, </w:t>
      </w:r>
      <w:proofErr w:type="spellStart"/>
      <w:r w:rsidRPr="006B2B12">
        <w:rPr>
          <w:rFonts w:ascii="Arial" w:eastAsia="Times New Roman" w:hAnsi="Arial" w:cs="Arial"/>
          <w:b/>
          <w:bCs/>
          <w:color w:val="FF0000"/>
          <w:lang w:eastAsia="en-GB"/>
        </w:rPr>
        <w:t>Asgerally</w:t>
      </w:r>
      <w:proofErr w:type="spellEnd"/>
      <w:r w:rsidRPr="006B2B12">
        <w:rPr>
          <w:rFonts w:ascii="Arial" w:eastAsia="Times New Roman" w:hAnsi="Arial" w:cs="Arial"/>
          <w:b/>
          <w:bCs/>
          <w:color w:val="FF0000"/>
          <w:lang w:eastAsia="en-GB"/>
        </w:rPr>
        <w:t xml:space="preserve"> </w:t>
      </w:r>
      <w:proofErr w:type="spellStart"/>
      <w:r w:rsidRPr="006B2B12">
        <w:rPr>
          <w:rFonts w:ascii="Arial" w:eastAsia="Times New Roman" w:hAnsi="Arial" w:cs="Arial"/>
          <w:b/>
          <w:bCs/>
          <w:color w:val="FF0000"/>
          <w:lang w:eastAsia="en-GB"/>
        </w:rPr>
        <w:t>Fazleabas</w:t>
      </w:r>
      <w:proofErr w:type="spellEnd"/>
      <w:r w:rsidRPr="006B2B12">
        <w:rPr>
          <w:rFonts w:ascii="Arial" w:eastAsia="Times New Roman" w:hAnsi="Arial" w:cs="Arial"/>
          <w:b/>
          <w:bCs/>
          <w:color w:val="FF0000"/>
          <w:lang w:eastAsia="en-GB"/>
        </w:rPr>
        <w:t xml:space="preserve"> </w:t>
      </w:r>
      <w:r w:rsidRPr="006B2B12">
        <w:rPr>
          <w:rFonts w:ascii="Arial" w:eastAsia="Times New Roman" w:hAnsi="Arial" w:cs="Arial"/>
          <w:b/>
          <w:bCs/>
          <w:color w:val="FF0000"/>
          <w:position w:val="8"/>
          <w:sz w:val="16"/>
          <w:szCs w:val="16"/>
          <w:lang w:eastAsia="en-GB"/>
        </w:rPr>
        <w:t>3</w:t>
      </w:r>
      <w:r w:rsidRPr="006B2B12">
        <w:rPr>
          <w:rFonts w:ascii="Arial" w:eastAsia="Times New Roman" w:hAnsi="Arial" w:cs="Arial"/>
          <w:b/>
          <w:bCs/>
          <w:color w:val="FF0000"/>
          <w:lang w:eastAsia="en-GB"/>
        </w:rPr>
        <w:t xml:space="preserve">, Andrea </w:t>
      </w:r>
      <w:proofErr w:type="spellStart"/>
      <w:r w:rsidRPr="006B2B12">
        <w:rPr>
          <w:rFonts w:ascii="Arial" w:eastAsia="Times New Roman" w:hAnsi="Arial" w:cs="Arial"/>
          <w:b/>
          <w:bCs/>
          <w:color w:val="FF0000"/>
          <w:lang w:eastAsia="en-GB"/>
        </w:rPr>
        <w:t>Braundmeier</w:t>
      </w:r>
      <w:proofErr w:type="spellEnd"/>
      <w:r w:rsidRPr="006B2B12">
        <w:rPr>
          <w:rFonts w:ascii="Arial" w:eastAsia="Times New Roman" w:hAnsi="Arial" w:cs="Arial"/>
          <w:b/>
          <w:bCs/>
          <w:color w:val="FF0000"/>
          <w:lang w:eastAsia="en-GB"/>
        </w:rPr>
        <w:t xml:space="preserve">- Fleming </w:t>
      </w:r>
      <w:r w:rsidRPr="006B2B12">
        <w:rPr>
          <w:rFonts w:ascii="Arial" w:eastAsia="Times New Roman" w:hAnsi="Arial" w:cs="Arial"/>
          <w:b/>
          <w:bCs/>
          <w:color w:val="FF0000"/>
          <w:position w:val="8"/>
          <w:sz w:val="16"/>
          <w:szCs w:val="16"/>
          <w:lang w:eastAsia="en-GB"/>
        </w:rPr>
        <w:t>4</w:t>
      </w:r>
      <w:r w:rsidRPr="006B2B12">
        <w:rPr>
          <w:rFonts w:ascii="Arial" w:eastAsia="Times New Roman" w:hAnsi="Arial" w:cs="Arial"/>
          <w:b/>
          <w:bCs/>
          <w:color w:val="FF0000"/>
          <w:position w:val="8"/>
          <w:sz w:val="16"/>
          <w:szCs w:val="16"/>
          <w:lang w:eastAsia="en-GB"/>
        </w:rPr>
        <w:br/>
      </w:r>
      <w:r w:rsidRPr="006B2B12">
        <w:rPr>
          <w:rFonts w:ascii="Arial" w:eastAsia="Times New Roman" w:hAnsi="Arial" w:cs="Arial"/>
          <w:b/>
          <w:bCs/>
          <w:color w:val="FF0000"/>
          <w:lang w:eastAsia="en-GB"/>
        </w:rPr>
        <w:t>Sci Rep. 2022 Jan 31;12(1</w:t>
      </w:r>
      <w:proofErr w:type="gramStart"/>
      <w:r w:rsidRPr="006B2B12">
        <w:rPr>
          <w:rFonts w:ascii="Arial" w:eastAsia="Times New Roman" w:hAnsi="Arial" w:cs="Arial"/>
          <w:b/>
          <w:bCs/>
          <w:color w:val="FF0000"/>
          <w:lang w:eastAsia="en-GB"/>
        </w:rPr>
        <w:t>):1590.doi</w:t>
      </w:r>
      <w:proofErr w:type="gramEnd"/>
      <w:r w:rsidRPr="006B2B12">
        <w:rPr>
          <w:rFonts w:ascii="Arial" w:eastAsia="Times New Roman" w:hAnsi="Arial" w:cs="Arial"/>
          <w:b/>
          <w:bCs/>
          <w:color w:val="FF0000"/>
          <w:lang w:eastAsia="en-GB"/>
        </w:rPr>
        <w:t xml:space="preserve">: 10.1038/s41598-022-05499-y. </w:t>
      </w:r>
    </w:p>
    <w:p w14:paraId="28F23C30" w14:textId="77777777" w:rsidR="006B2B12" w:rsidRPr="006B2B12" w:rsidRDefault="006B2B12" w:rsidP="006B2B12">
      <w:pPr>
        <w:spacing w:before="100" w:beforeAutospacing="1" w:after="100" w:afterAutospacing="1"/>
        <w:rPr>
          <w:rFonts w:ascii="Times New Roman" w:eastAsia="Times New Roman" w:hAnsi="Times New Roman" w:cs="Times New Roman"/>
          <w:lang w:eastAsia="en-GB"/>
        </w:rPr>
      </w:pPr>
      <w:r w:rsidRPr="006B2B12">
        <w:rPr>
          <w:rFonts w:ascii="ArialMT" w:eastAsia="Times New Roman" w:hAnsi="ArialMT" w:cs="Times New Roman"/>
          <w:lang w:eastAsia="en-GB"/>
        </w:rPr>
        <w:t xml:space="preserve">Abstract </w:t>
      </w:r>
    </w:p>
    <w:p w14:paraId="3233AD43" w14:textId="5D102ED5" w:rsidR="006B2B12" w:rsidRPr="006B2B12" w:rsidRDefault="006B2B12" w:rsidP="006B2B12">
      <w:pPr>
        <w:spacing w:before="100" w:beforeAutospacing="1" w:after="100" w:afterAutospacing="1"/>
        <w:rPr>
          <w:rFonts w:ascii="Times New Roman" w:eastAsia="Times New Roman" w:hAnsi="Times New Roman" w:cs="Times New Roman"/>
          <w:lang w:eastAsia="en-GB"/>
        </w:rPr>
      </w:pPr>
      <w:r w:rsidRPr="006B2B12">
        <w:rPr>
          <w:rFonts w:ascii="ArialMT" w:eastAsia="Times New Roman" w:hAnsi="ArialMT" w:cs="Times New Roman"/>
          <w:lang w:eastAsia="en-GB"/>
        </w:rPr>
        <w:t xml:space="preserve">Endometriosis is defined as the growth of endometrial tissue in ectopic </w:t>
      </w:r>
      <w:proofErr w:type="gramStart"/>
      <w:r w:rsidRPr="006B2B12">
        <w:rPr>
          <w:rFonts w:ascii="ArialMT" w:eastAsia="Times New Roman" w:hAnsi="ArialMT" w:cs="Times New Roman"/>
          <w:lang w:eastAsia="en-GB"/>
        </w:rPr>
        <w:t>locations, and</w:t>
      </w:r>
      <w:proofErr w:type="gramEnd"/>
      <w:r w:rsidRPr="006B2B12">
        <w:rPr>
          <w:rFonts w:ascii="ArialMT" w:eastAsia="Times New Roman" w:hAnsi="ArialMT" w:cs="Times New Roman"/>
          <w:lang w:eastAsia="en-GB"/>
        </w:rPr>
        <w:t xml:space="preserve"> is associated with altered immune and microbial phenotypes. It is unclear if these changes are the result of the disease or may be causative. We induced endometriosis in non-human primates (</w:t>
      </w:r>
      <w:proofErr w:type="spellStart"/>
      <w:r w:rsidRPr="006B2B12">
        <w:rPr>
          <w:rFonts w:ascii="ArialMT" w:eastAsia="Times New Roman" w:hAnsi="ArialMT" w:cs="Times New Roman"/>
          <w:lang w:eastAsia="en-GB"/>
        </w:rPr>
        <w:t>Papio</w:t>
      </w:r>
      <w:proofErr w:type="spellEnd"/>
      <w:r w:rsidRPr="006B2B12">
        <w:rPr>
          <w:rFonts w:ascii="ArialMT" w:eastAsia="Times New Roman" w:hAnsi="ArialMT" w:cs="Times New Roman"/>
          <w:lang w:eastAsia="en-GB"/>
        </w:rPr>
        <w:t xml:space="preserve"> Anubis) to test our hypothesis that the growth of endometriotic lesions results in alterations in immune and microbial dynamics that may advance disease progression. Baboon samples were collected pre-inoculation (prior to disease induction), at 3, 6, 9, and 15 months after disease induction. Tolerant regulatory T-cells (Tregs) and inflammatory T-helper 17 (Th17) cells were identified in peripheral blood and within the </w:t>
      </w:r>
      <w:proofErr w:type="spellStart"/>
      <w:r w:rsidRPr="006B2B12">
        <w:rPr>
          <w:rFonts w:ascii="ArialMT" w:eastAsia="Times New Roman" w:hAnsi="ArialMT" w:cs="Times New Roman"/>
          <w:lang w:eastAsia="en-GB"/>
        </w:rPr>
        <w:t>eutopic</w:t>
      </w:r>
      <w:proofErr w:type="spellEnd"/>
      <w:r w:rsidRPr="006B2B12">
        <w:rPr>
          <w:rFonts w:ascii="ArialMT" w:eastAsia="Times New Roman" w:hAnsi="ArialMT" w:cs="Times New Roman"/>
          <w:lang w:eastAsia="en-GB"/>
        </w:rPr>
        <w:t xml:space="preserve">/ectopic endometrial tissues. Microbiome communities were identified in </w:t>
      </w:r>
      <w:proofErr w:type="spellStart"/>
      <w:r w:rsidRPr="006B2B12">
        <w:rPr>
          <w:rFonts w:ascii="ArialMT" w:eastAsia="Times New Roman" w:hAnsi="ArialMT" w:cs="Times New Roman"/>
          <w:lang w:eastAsia="en-GB"/>
        </w:rPr>
        <w:t>fecal</w:t>
      </w:r>
      <w:proofErr w:type="spellEnd"/>
      <w:r w:rsidRPr="006B2B12">
        <w:rPr>
          <w:rFonts w:ascii="ArialMT" w:eastAsia="Times New Roman" w:hAnsi="ArialMT" w:cs="Times New Roman"/>
          <w:lang w:eastAsia="en-GB"/>
        </w:rPr>
        <w:t xml:space="preserve">/urine samples. The induction of endometriosis decreased peripheral Tregs cells while Th17 cells increased at all post-induction collections, thus reducing the </w:t>
      </w:r>
      <w:proofErr w:type="gramStart"/>
      <w:r w:rsidRPr="006B2B12">
        <w:rPr>
          <w:rFonts w:ascii="ArialMT" w:eastAsia="Times New Roman" w:hAnsi="ArialMT" w:cs="Times New Roman"/>
          <w:lang w:eastAsia="en-GB"/>
        </w:rPr>
        <w:t>Tregs:Th</w:t>
      </w:r>
      <w:proofErr w:type="gramEnd"/>
      <w:r w:rsidRPr="006B2B12">
        <w:rPr>
          <w:rFonts w:ascii="ArialMT" w:eastAsia="Times New Roman" w:hAnsi="ArialMT" w:cs="Times New Roman"/>
          <w:lang w:eastAsia="en-GB"/>
        </w:rPr>
        <w:t xml:space="preserve">17 cells ratio, indicating systemic inflammation. Microbiome diversity and abundance were altered at each sample site after disease induction. Thus, induction of endometriosis in baboons caused an immune shift toward an inflammatory profile and altered mucosal microbial profiles, which may drive inflammation through production of inflammatory mediators. Immune and microbial profiling may lead to innovative diagnostic tools and novel therapies for endometriosis treatment. </w:t>
      </w:r>
    </w:p>
    <w:p w14:paraId="0D16D28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B12"/>
    <w:rsid w:val="00432D50"/>
    <w:rsid w:val="006B2B12"/>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C3F5071"/>
  <w15:chartTrackingRefBased/>
  <w15:docId w15:val="{700471FD-D83E-9048-B9AB-B4057CDAD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2B1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7741733">
      <w:bodyDiv w:val="1"/>
      <w:marLeft w:val="0"/>
      <w:marRight w:val="0"/>
      <w:marTop w:val="0"/>
      <w:marBottom w:val="0"/>
      <w:divBdr>
        <w:top w:val="none" w:sz="0" w:space="0" w:color="auto"/>
        <w:left w:val="none" w:sz="0" w:space="0" w:color="auto"/>
        <w:bottom w:val="none" w:sz="0" w:space="0" w:color="auto"/>
        <w:right w:val="none" w:sz="0" w:space="0" w:color="auto"/>
      </w:divBdr>
      <w:divsChild>
        <w:div w:id="1482229922">
          <w:marLeft w:val="0"/>
          <w:marRight w:val="0"/>
          <w:marTop w:val="0"/>
          <w:marBottom w:val="0"/>
          <w:divBdr>
            <w:top w:val="none" w:sz="0" w:space="0" w:color="auto"/>
            <w:left w:val="none" w:sz="0" w:space="0" w:color="auto"/>
            <w:bottom w:val="none" w:sz="0" w:space="0" w:color="auto"/>
            <w:right w:val="none" w:sz="0" w:space="0" w:color="auto"/>
          </w:divBdr>
          <w:divsChild>
            <w:div w:id="80176985">
              <w:marLeft w:val="0"/>
              <w:marRight w:val="0"/>
              <w:marTop w:val="0"/>
              <w:marBottom w:val="0"/>
              <w:divBdr>
                <w:top w:val="none" w:sz="0" w:space="0" w:color="auto"/>
                <w:left w:val="none" w:sz="0" w:space="0" w:color="auto"/>
                <w:bottom w:val="none" w:sz="0" w:space="0" w:color="auto"/>
                <w:right w:val="none" w:sz="0" w:space="0" w:color="auto"/>
              </w:divBdr>
              <w:divsChild>
                <w:div w:id="53203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83719">
          <w:marLeft w:val="0"/>
          <w:marRight w:val="0"/>
          <w:marTop w:val="0"/>
          <w:marBottom w:val="0"/>
          <w:divBdr>
            <w:top w:val="none" w:sz="0" w:space="0" w:color="auto"/>
            <w:left w:val="none" w:sz="0" w:space="0" w:color="auto"/>
            <w:bottom w:val="none" w:sz="0" w:space="0" w:color="auto"/>
            <w:right w:val="none" w:sz="0" w:space="0" w:color="auto"/>
          </w:divBdr>
          <w:divsChild>
            <w:div w:id="2091460180">
              <w:marLeft w:val="0"/>
              <w:marRight w:val="0"/>
              <w:marTop w:val="0"/>
              <w:marBottom w:val="0"/>
              <w:divBdr>
                <w:top w:val="none" w:sz="0" w:space="0" w:color="auto"/>
                <w:left w:val="none" w:sz="0" w:space="0" w:color="auto"/>
                <w:bottom w:val="none" w:sz="0" w:space="0" w:color="auto"/>
                <w:right w:val="none" w:sz="0" w:space="0" w:color="auto"/>
              </w:divBdr>
              <w:divsChild>
                <w:div w:id="6993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253</Words>
  <Characters>1448</Characters>
  <Application>Microsoft Office Word</Application>
  <DocSecurity>0</DocSecurity>
  <Lines>12</Lines>
  <Paragraphs>3</Paragraphs>
  <ScaleCrop>false</ScaleCrop>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2022-02-13T20:20:00Z</dcterms:created>
  <dcterms:modified xsi:type="dcterms:W3CDTF">2022-02-13T20:21:00Z</dcterms:modified>
</cp:coreProperties>
</file>