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6682CD" w14:textId="4CEF9EE2" w:rsidR="00D81114" w:rsidRDefault="00D81114" w:rsidP="00D81114">
      <w:pPr>
        <w:pStyle w:val="NormalWeb"/>
      </w:pPr>
      <w:r>
        <w:rPr>
          <w:rFonts w:ascii="Arial" w:hAnsi="Arial" w:cs="Arial"/>
          <w:b/>
          <w:bCs/>
          <w:color w:val="FF0000"/>
        </w:rPr>
        <w:t>42.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Malignant Peritoneal Mesothelioma Associated </w:t>
      </w:r>
      <w:proofErr w:type="gramStart"/>
      <w:r>
        <w:rPr>
          <w:rFonts w:ascii="Arial" w:hAnsi="Arial" w:cs="Arial"/>
          <w:b/>
          <w:bCs/>
          <w:color w:val="FF0000"/>
        </w:rPr>
        <w:t>With</w:t>
      </w:r>
      <w:proofErr w:type="gramEnd"/>
      <w:r>
        <w:rPr>
          <w:rFonts w:ascii="Arial" w:hAnsi="Arial" w:cs="Arial"/>
          <w:b/>
          <w:bCs/>
          <w:color w:val="FF0000"/>
        </w:rPr>
        <w:t xml:space="preserve"> Endometriosis: A Clinicopathologic Study of 15 Cases </w:t>
      </w:r>
    </w:p>
    <w:p w14:paraId="47B4A487" w14:textId="77777777" w:rsidR="00D81114" w:rsidRDefault="00D81114" w:rsidP="00D81114">
      <w:pPr>
        <w:pStyle w:val="NormalWeb"/>
      </w:pPr>
      <w:r>
        <w:rPr>
          <w:rFonts w:ascii="Arial" w:hAnsi="Arial" w:cs="Arial"/>
          <w:b/>
          <w:bCs/>
          <w:color w:val="FF0000"/>
        </w:rPr>
        <w:t xml:space="preserve">Anais </w:t>
      </w:r>
      <w:proofErr w:type="spellStart"/>
      <w:r>
        <w:rPr>
          <w:rFonts w:ascii="Arial" w:hAnsi="Arial" w:cs="Arial"/>
          <w:b/>
          <w:bCs/>
          <w:color w:val="FF0000"/>
        </w:rPr>
        <w:t>Malpica</w:t>
      </w:r>
      <w:proofErr w:type="spellEnd"/>
      <w:r>
        <w:rPr>
          <w:rFonts w:ascii="Arial" w:hAnsi="Arial" w:cs="Arial"/>
          <w:b/>
          <w:bCs/>
          <w:color w:val="FF0000"/>
        </w:rPr>
        <w:t xml:space="preserve">, Elizabeth D </w:t>
      </w:r>
      <w:proofErr w:type="spellStart"/>
      <w:r>
        <w:rPr>
          <w:rFonts w:ascii="Arial" w:hAnsi="Arial" w:cs="Arial"/>
          <w:b/>
          <w:bCs/>
          <w:color w:val="FF0000"/>
        </w:rPr>
        <w:t>Euscher</w:t>
      </w:r>
      <w:proofErr w:type="spellEnd"/>
      <w:r>
        <w:rPr>
          <w:rFonts w:ascii="Arial" w:hAnsi="Arial" w:cs="Arial"/>
          <w:b/>
          <w:bCs/>
          <w:color w:val="FF0000"/>
        </w:rPr>
        <w:t>, Mario L Marques-</w:t>
      </w:r>
      <w:proofErr w:type="spellStart"/>
      <w:r>
        <w:rPr>
          <w:rFonts w:ascii="Arial" w:hAnsi="Arial" w:cs="Arial"/>
          <w:b/>
          <w:bCs/>
          <w:color w:val="FF0000"/>
        </w:rPr>
        <w:t>Piubelli</w:t>
      </w:r>
      <w:proofErr w:type="spellEnd"/>
      <w:r>
        <w:rPr>
          <w:rFonts w:ascii="Arial" w:hAnsi="Arial" w:cs="Arial"/>
          <w:b/>
          <w:bCs/>
          <w:color w:val="FF0000"/>
        </w:rPr>
        <w:t xml:space="preserve">, Roberto N Miranda, Keith F Fournier, Kanwal P Raghav, </w:t>
      </w:r>
      <w:proofErr w:type="spellStart"/>
      <w:r>
        <w:rPr>
          <w:rFonts w:ascii="Arial" w:hAnsi="Arial" w:cs="Arial"/>
          <w:b/>
          <w:bCs/>
          <w:color w:val="FF0000"/>
        </w:rPr>
        <w:t>Preetha</w:t>
      </w:r>
      <w:proofErr w:type="spellEnd"/>
      <w:r>
        <w:rPr>
          <w:rFonts w:ascii="Arial" w:hAnsi="Arial" w:cs="Arial"/>
          <w:b/>
          <w:bCs/>
          <w:color w:val="FF0000"/>
        </w:rPr>
        <w:t xml:space="preserve"> Ramalingam</w:t>
      </w:r>
      <w:r>
        <w:rPr>
          <w:rFonts w:ascii="Arial" w:hAnsi="Arial" w:cs="Arial"/>
          <w:b/>
          <w:bCs/>
          <w:color w:val="FF0000"/>
        </w:rPr>
        <w:br/>
        <w:t xml:space="preserve">Int J </w:t>
      </w:r>
      <w:proofErr w:type="spellStart"/>
      <w:r>
        <w:rPr>
          <w:rFonts w:ascii="Arial" w:hAnsi="Arial" w:cs="Arial"/>
          <w:b/>
          <w:bCs/>
          <w:color w:val="FF0000"/>
        </w:rPr>
        <w:t>Gynecol</w:t>
      </w:r>
      <w:proofErr w:type="spellEnd"/>
      <w:r>
        <w:rPr>
          <w:rFonts w:ascii="Arial" w:hAnsi="Arial" w:cs="Arial"/>
          <w:b/>
          <w:bCs/>
          <w:color w:val="FF0000"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</w:rPr>
        <w:t>Pathol</w:t>
      </w:r>
      <w:proofErr w:type="spellEnd"/>
      <w:r>
        <w:rPr>
          <w:rFonts w:ascii="Arial" w:hAnsi="Arial" w:cs="Arial"/>
          <w:b/>
          <w:bCs/>
          <w:color w:val="FF0000"/>
        </w:rPr>
        <w:t>. 2022 Jan 1;41(1</w:t>
      </w:r>
      <w:proofErr w:type="gramStart"/>
      <w:r>
        <w:rPr>
          <w:rFonts w:ascii="Arial" w:hAnsi="Arial" w:cs="Arial"/>
          <w:b/>
          <w:bCs/>
          <w:color w:val="FF0000"/>
        </w:rPr>
        <w:t>):59-67.doi</w:t>
      </w:r>
      <w:proofErr w:type="gramEnd"/>
      <w:r>
        <w:rPr>
          <w:rFonts w:ascii="Arial" w:hAnsi="Arial" w:cs="Arial"/>
          <w:b/>
          <w:bCs/>
          <w:color w:val="FF0000"/>
        </w:rPr>
        <w:t xml:space="preserve">: 10.1097/PGP.0000000000000762. </w:t>
      </w:r>
    </w:p>
    <w:p w14:paraId="78189AE8" w14:textId="77777777" w:rsidR="00D81114" w:rsidRDefault="00D81114" w:rsidP="00D81114">
      <w:pPr>
        <w:pStyle w:val="NormalWeb"/>
      </w:pPr>
      <w:r>
        <w:rPr>
          <w:rFonts w:ascii="Arial" w:hAnsi="Arial" w:cs="Arial"/>
          <w:b/>
          <w:bCs/>
          <w:color w:val="FF0000"/>
        </w:rPr>
        <w:t xml:space="preserve">PMID: 33577225 </w:t>
      </w:r>
    </w:p>
    <w:p w14:paraId="62FB9FEE" w14:textId="77777777" w:rsidR="00D81114" w:rsidRDefault="00D81114" w:rsidP="00D81114">
      <w:pPr>
        <w:pStyle w:val="NormalWeb"/>
      </w:pPr>
      <w:r>
        <w:rPr>
          <w:rFonts w:ascii="ArialMT" w:hAnsi="ArialMT"/>
        </w:rPr>
        <w:t xml:space="preserve">Abstract </w:t>
      </w:r>
    </w:p>
    <w:p w14:paraId="6A334BCB" w14:textId="77777777" w:rsidR="00D81114" w:rsidRDefault="00D81114" w:rsidP="00D81114">
      <w:pPr>
        <w:pStyle w:val="NormalWeb"/>
      </w:pPr>
      <w:r>
        <w:rPr>
          <w:rFonts w:ascii="ArialMT" w:hAnsi="ArialMT"/>
        </w:rPr>
        <w:t>Only a few cases of malignant peritoneal mesothelioma (</w:t>
      </w:r>
      <w:proofErr w:type="spellStart"/>
      <w:r>
        <w:rPr>
          <w:rFonts w:ascii="ArialMT" w:hAnsi="ArialMT"/>
        </w:rPr>
        <w:t>MPeM</w:t>
      </w:r>
      <w:proofErr w:type="spellEnd"/>
      <w:r>
        <w:rPr>
          <w:rFonts w:ascii="ArialMT" w:hAnsi="ArialMT"/>
        </w:rPr>
        <w:t xml:space="preserve">) associated with endometriosis have been published; with chronic inflammation of the peritoneum associated with the latter being postulated as an inducing factor in the pathogenesis of this </w:t>
      </w:r>
      <w:proofErr w:type="spellStart"/>
      <w:r>
        <w:rPr>
          <w:rFonts w:ascii="ArialMT" w:hAnsi="ArialMT"/>
        </w:rPr>
        <w:t>tumor</w:t>
      </w:r>
      <w:proofErr w:type="spellEnd"/>
      <w:r>
        <w:rPr>
          <w:rFonts w:ascii="ArialMT" w:hAnsi="ArialMT"/>
        </w:rPr>
        <w:t xml:space="preserve">. We assessed the clinicopathologic characteristics of </w:t>
      </w:r>
      <w:proofErr w:type="spellStart"/>
      <w:r>
        <w:rPr>
          <w:rFonts w:ascii="ArialMT" w:hAnsi="ArialMT"/>
        </w:rPr>
        <w:t>MPeM</w:t>
      </w:r>
      <w:proofErr w:type="spellEnd"/>
      <w:r>
        <w:rPr>
          <w:rFonts w:ascii="ArialMT" w:hAnsi="ArialMT"/>
        </w:rPr>
        <w:t xml:space="preserve"> associated with endometriosis to determine if there were other factors besides inflammation that may contribute to the pathogenesis in this patient population. Fifteen </w:t>
      </w:r>
      <w:proofErr w:type="spellStart"/>
      <w:r>
        <w:rPr>
          <w:rFonts w:ascii="ArialMT" w:hAnsi="ArialMT"/>
        </w:rPr>
        <w:t>MPeM</w:t>
      </w:r>
      <w:proofErr w:type="spellEnd"/>
      <w:r>
        <w:rPr>
          <w:rFonts w:ascii="ArialMT" w:hAnsi="ArialMT"/>
        </w:rPr>
        <w:t xml:space="preserve"> associated with endometriosis were retrieved from our files. Most presented with abdominal/pelvic pain, mass or distention; median age was 45 yr. Only 16% of patients had a history of asbestos exposure. In contrast, a third of the patients had a personal history of other neoplasms, and &gt;80% had a family history of malignancies. Although most </w:t>
      </w:r>
      <w:proofErr w:type="spellStart"/>
      <w:r>
        <w:rPr>
          <w:rFonts w:ascii="ArialMT" w:hAnsi="ArialMT"/>
        </w:rPr>
        <w:t>tumors</w:t>
      </w:r>
      <w:proofErr w:type="spellEnd"/>
      <w:r>
        <w:rPr>
          <w:rFonts w:ascii="ArialMT" w:hAnsi="ArialMT"/>
        </w:rPr>
        <w:t xml:space="preserve"> had gross and microscopic features typical of </w:t>
      </w:r>
      <w:proofErr w:type="spellStart"/>
      <w:r>
        <w:rPr>
          <w:rFonts w:ascii="ArialMT" w:hAnsi="ArialMT"/>
        </w:rPr>
        <w:t>MPeM</w:t>
      </w:r>
      <w:proofErr w:type="spellEnd"/>
      <w:r>
        <w:rPr>
          <w:rFonts w:ascii="ArialMT" w:hAnsi="ArialMT"/>
        </w:rPr>
        <w:t xml:space="preserve">, some had confounding features including "adhesion-like" appearance or gelatinous cysts/nodules, and signet ring cells. </w:t>
      </w:r>
      <w:proofErr w:type="spellStart"/>
      <w:r>
        <w:rPr>
          <w:rFonts w:ascii="ArialMT" w:hAnsi="ArialMT"/>
        </w:rPr>
        <w:t>Tumors</w:t>
      </w:r>
      <w:proofErr w:type="spellEnd"/>
      <w:r>
        <w:rPr>
          <w:rFonts w:ascii="ArialMT" w:hAnsi="ArialMT"/>
        </w:rPr>
        <w:t xml:space="preserve"> were epithelioid (9) and biphasic (6). </w:t>
      </w:r>
      <w:proofErr w:type="spellStart"/>
      <w:r>
        <w:rPr>
          <w:rFonts w:ascii="ArialMT" w:hAnsi="ArialMT"/>
        </w:rPr>
        <w:t>MPeM</w:t>
      </w:r>
      <w:proofErr w:type="spellEnd"/>
      <w:r>
        <w:rPr>
          <w:rFonts w:ascii="ArialMT" w:hAnsi="ArialMT"/>
        </w:rPr>
        <w:t xml:space="preserve"> was misdiagnosed as </w:t>
      </w:r>
      <w:proofErr w:type="spellStart"/>
      <w:r>
        <w:rPr>
          <w:rFonts w:ascii="ArialMT" w:hAnsi="ArialMT"/>
        </w:rPr>
        <w:t>Müllerian</w:t>
      </w:r>
      <w:proofErr w:type="spellEnd"/>
      <w:r>
        <w:rPr>
          <w:rFonts w:ascii="ArialMT" w:hAnsi="ArialMT"/>
        </w:rPr>
        <w:t xml:space="preserve"> carcinoma in 40% of cases. All patients (n=15) had cytoreductive surgery in addition to other therapies. Only 2/12 patients died of disease (17%). The 3- and 5-yr overall survival was 90%. </w:t>
      </w:r>
      <w:proofErr w:type="spellStart"/>
      <w:r>
        <w:rPr>
          <w:rFonts w:ascii="ArialMT" w:hAnsi="ArialMT"/>
        </w:rPr>
        <w:t>MPeM</w:t>
      </w:r>
      <w:proofErr w:type="spellEnd"/>
      <w:r>
        <w:rPr>
          <w:rFonts w:ascii="ArialMT" w:hAnsi="ArialMT"/>
        </w:rPr>
        <w:t xml:space="preserve"> associated with endometriosis tends to occur in patients with personal/familial history of malignancies, which may be a predisposing factor. </w:t>
      </w:r>
      <w:proofErr w:type="gramStart"/>
      <w:r>
        <w:rPr>
          <w:rFonts w:ascii="ArialMT" w:hAnsi="ArialMT"/>
        </w:rPr>
        <w:t>In light of</w:t>
      </w:r>
      <w:proofErr w:type="gramEnd"/>
      <w:r>
        <w:rPr>
          <w:rFonts w:ascii="ArialMT" w:hAnsi="ArialMT"/>
        </w:rPr>
        <w:t xml:space="preserve"> this finding, the role of endometriosis in the pathogenesis of </w:t>
      </w:r>
      <w:proofErr w:type="spellStart"/>
      <w:r>
        <w:rPr>
          <w:rFonts w:ascii="ArialMT" w:hAnsi="ArialMT"/>
        </w:rPr>
        <w:t>MPeM</w:t>
      </w:r>
      <w:proofErr w:type="spellEnd"/>
      <w:r>
        <w:rPr>
          <w:rFonts w:ascii="ArialMT" w:hAnsi="ArialMT"/>
        </w:rPr>
        <w:t xml:space="preserve"> is likely less relevant. The </w:t>
      </w:r>
      <w:proofErr w:type="spellStart"/>
      <w:r>
        <w:rPr>
          <w:rFonts w:ascii="ArialMT" w:hAnsi="ArialMT"/>
        </w:rPr>
        <w:t>favorable</w:t>
      </w:r>
      <w:proofErr w:type="spellEnd"/>
      <w:r>
        <w:rPr>
          <w:rFonts w:ascii="ArialMT" w:hAnsi="ArialMT"/>
        </w:rPr>
        <w:t xml:space="preserve"> outcome seen in these patients may be related to germline mutations or the hormonal milieu and needs further investigation. </w:t>
      </w:r>
    </w:p>
    <w:p w14:paraId="5C21F518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114"/>
    <w:rsid w:val="00432D50"/>
    <w:rsid w:val="00A74000"/>
    <w:rsid w:val="00D30F83"/>
    <w:rsid w:val="00D7461F"/>
    <w:rsid w:val="00D81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C2B8EA"/>
  <w15:chartTrackingRefBased/>
  <w15:docId w15:val="{78A4A78C-E9F9-B943-A48F-5EB8881BF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111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774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0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34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301</Words>
  <Characters>1721</Characters>
  <Application>Microsoft Office Word</Application>
  <DocSecurity>0</DocSecurity>
  <Lines>14</Lines>
  <Paragraphs>4</Paragraphs>
  <ScaleCrop>false</ScaleCrop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2022-02-13T20:50:00Z</dcterms:created>
  <dcterms:modified xsi:type="dcterms:W3CDTF">2022-02-13T20:50:00Z</dcterms:modified>
</cp:coreProperties>
</file>