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12ABD9" w14:textId="1F33FA75" w:rsidR="00AB159F" w:rsidRPr="00AB159F" w:rsidRDefault="00AB159F" w:rsidP="00AB159F">
      <w:pPr>
        <w:spacing w:before="100" w:beforeAutospacing="1" w:after="100" w:afterAutospacing="1"/>
        <w:rPr>
          <w:rFonts w:ascii="Times New Roman" w:eastAsia="Times New Roman" w:hAnsi="Times New Roman" w:cs="Times New Roman"/>
          <w:lang w:eastAsia="en-GB"/>
        </w:rPr>
      </w:pPr>
      <w:r w:rsidRPr="00AB159F">
        <w:rPr>
          <w:rFonts w:ascii="Arial" w:eastAsia="Times New Roman" w:hAnsi="Arial" w:cs="Arial"/>
          <w:b/>
          <w:bCs/>
          <w:color w:val="FF0000"/>
          <w:lang w:eastAsia="en-GB"/>
        </w:rPr>
        <w:t>44.</w:t>
      </w:r>
      <w:r>
        <w:rPr>
          <w:rFonts w:ascii="Arial" w:eastAsia="Times New Roman" w:hAnsi="Arial" w:cs="Arial"/>
          <w:b/>
          <w:bCs/>
          <w:color w:val="FF0000"/>
          <w:lang w:eastAsia="en-GB"/>
        </w:rPr>
        <w:t xml:space="preserve"> </w:t>
      </w:r>
      <w:r w:rsidRPr="00AB159F">
        <w:rPr>
          <w:rFonts w:ascii="Arial" w:eastAsia="Times New Roman" w:hAnsi="Arial" w:cs="Arial"/>
          <w:b/>
          <w:bCs/>
          <w:color w:val="FF0000"/>
          <w:lang w:eastAsia="en-GB"/>
        </w:rPr>
        <w:t xml:space="preserve">Clinical Management of Chronic Pelvic Pain in Endometriosis Unresponsive to Conventional Therapy </w:t>
      </w:r>
    </w:p>
    <w:p w14:paraId="74579F3C" w14:textId="77777777" w:rsidR="00AB159F" w:rsidRPr="00AB159F" w:rsidRDefault="00AB159F" w:rsidP="00AB159F">
      <w:pPr>
        <w:spacing w:before="100" w:beforeAutospacing="1" w:after="100" w:afterAutospacing="1"/>
        <w:rPr>
          <w:rFonts w:ascii="Times New Roman" w:eastAsia="Times New Roman" w:hAnsi="Times New Roman" w:cs="Times New Roman"/>
          <w:lang w:eastAsia="en-GB"/>
        </w:rPr>
      </w:pPr>
      <w:r w:rsidRPr="00AB159F">
        <w:rPr>
          <w:rFonts w:ascii="Arial" w:eastAsia="Times New Roman" w:hAnsi="Arial" w:cs="Arial"/>
          <w:b/>
          <w:bCs/>
          <w:color w:val="FF0000"/>
          <w:lang w:eastAsia="en-GB"/>
        </w:rPr>
        <w:t xml:space="preserve">Augusto Pereira </w:t>
      </w:r>
      <w:r w:rsidRPr="00AB159F">
        <w:rPr>
          <w:rFonts w:ascii="Arial" w:eastAsia="Times New Roman" w:hAnsi="Arial" w:cs="Arial"/>
          <w:b/>
          <w:bCs/>
          <w:color w:val="FF0000"/>
          <w:position w:val="8"/>
          <w:sz w:val="16"/>
          <w:szCs w:val="16"/>
          <w:lang w:eastAsia="en-GB"/>
        </w:rPr>
        <w:t>1</w:t>
      </w:r>
      <w:r w:rsidRPr="00AB159F">
        <w:rPr>
          <w:rFonts w:ascii="Arial" w:eastAsia="Times New Roman" w:hAnsi="Arial" w:cs="Arial"/>
          <w:b/>
          <w:bCs/>
          <w:color w:val="FF0000"/>
          <w:lang w:eastAsia="en-GB"/>
        </w:rPr>
        <w:t>, Manuel Herrero-</w:t>
      </w:r>
      <w:proofErr w:type="spellStart"/>
      <w:r w:rsidRPr="00AB159F">
        <w:rPr>
          <w:rFonts w:ascii="Arial" w:eastAsia="Times New Roman" w:hAnsi="Arial" w:cs="Arial"/>
          <w:b/>
          <w:bCs/>
          <w:color w:val="FF0000"/>
          <w:lang w:eastAsia="en-GB"/>
        </w:rPr>
        <w:t>Trujillano</w:t>
      </w:r>
      <w:proofErr w:type="spellEnd"/>
      <w:r w:rsidRPr="00AB159F">
        <w:rPr>
          <w:rFonts w:ascii="Arial" w:eastAsia="Times New Roman" w:hAnsi="Arial" w:cs="Arial"/>
          <w:b/>
          <w:bCs/>
          <w:color w:val="FF0000"/>
          <w:lang w:eastAsia="en-GB"/>
        </w:rPr>
        <w:t xml:space="preserve"> </w:t>
      </w:r>
      <w:r w:rsidRPr="00AB159F">
        <w:rPr>
          <w:rFonts w:ascii="Arial" w:eastAsia="Times New Roman" w:hAnsi="Arial" w:cs="Arial"/>
          <w:b/>
          <w:bCs/>
          <w:color w:val="FF0000"/>
          <w:position w:val="8"/>
          <w:sz w:val="16"/>
          <w:szCs w:val="16"/>
          <w:lang w:eastAsia="en-GB"/>
        </w:rPr>
        <w:t>2</w:t>
      </w:r>
      <w:r w:rsidRPr="00AB159F">
        <w:rPr>
          <w:rFonts w:ascii="Arial" w:eastAsia="Times New Roman" w:hAnsi="Arial" w:cs="Arial"/>
          <w:b/>
          <w:bCs/>
          <w:color w:val="FF0000"/>
          <w:lang w:eastAsia="en-GB"/>
        </w:rPr>
        <w:t xml:space="preserve">, </w:t>
      </w:r>
      <w:proofErr w:type="spellStart"/>
      <w:r w:rsidRPr="00AB159F">
        <w:rPr>
          <w:rFonts w:ascii="Arial" w:eastAsia="Times New Roman" w:hAnsi="Arial" w:cs="Arial"/>
          <w:b/>
          <w:bCs/>
          <w:color w:val="FF0000"/>
          <w:lang w:eastAsia="en-GB"/>
        </w:rPr>
        <w:t>Gema</w:t>
      </w:r>
      <w:proofErr w:type="spellEnd"/>
      <w:r w:rsidRPr="00AB159F">
        <w:rPr>
          <w:rFonts w:ascii="Arial" w:eastAsia="Times New Roman" w:hAnsi="Arial" w:cs="Arial"/>
          <w:b/>
          <w:bCs/>
          <w:color w:val="FF0000"/>
          <w:lang w:eastAsia="en-GB"/>
        </w:rPr>
        <w:t xml:space="preserve"> Vaquero </w:t>
      </w:r>
      <w:r w:rsidRPr="00AB159F">
        <w:rPr>
          <w:rFonts w:ascii="Arial" w:eastAsia="Times New Roman" w:hAnsi="Arial" w:cs="Arial"/>
          <w:b/>
          <w:bCs/>
          <w:color w:val="FF0000"/>
          <w:position w:val="8"/>
          <w:sz w:val="16"/>
          <w:szCs w:val="16"/>
          <w:lang w:eastAsia="en-GB"/>
        </w:rPr>
        <w:t>1</w:t>
      </w:r>
      <w:r w:rsidRPr="00AB159F">
        <w:rPr>
          <w:rFonts w:ascii="Arial" w:eastAsia="Times New Roman" w:hAnsi="Arial" w:cs="Arial"/>
          <w:b/>
          <w:bCs/>
          <w:color w:val="FF0000"/>
          <w:lang w:eastAsia="en-GB"/>
        </w:rPr>
        <w:t xml:space="preserve">, Lucia Fuentes </w:t>
      </w:r>
      <w:r w:rsidRPr="00AB159F">
        <w:rPr>
          <w:rFonts w:ascii="Arial" w:eastAsia="Times New Roman" w:hAnsi="Arial" w:cs="Arial"/>
          <w:b/>
          <w:bCs/>
          <w:color w:val="FF0000"/>
          <w:position w:val="8"/>
          <w:sz w:val="16"/>
          <w:szCs w:val="16"/>
          <w:lang w:eastAsia="en-GB"/>
        </w:rPr>
        <w:t>1</w:t>
      </w:r>
      <w:r w:rsidRPr="00AB159F">
        <w:rPr>
          <w:rFonts w:ascii="Arial" w:eastAsia="Times New Roman" w:hAnsi="Arial" w:cs="Arial"/>
          <w:b/>
          <w:bCs/>
          <w:color w:val="FF0000"/>
          <w:lang w:eastAsia="en-GB"/>
        </w:rPr>
        <w:t xml:space="preserve">, Sofia Gonzalez </w:t>
      </w:r>
      <w:r w:rsidRPr="00AB159F">
        <w:rPr>
          <w:rFonts w:ascii="Arial" w:eastAsia="Times New Roman" w:hAnsi="Arial" w:cs="Arial"/>
          <w:b/>
          <w:bCs/>
          <w:color w:val="FF0000"/>
          <w:position w:val="8"/>
          <w:sz w:val="16"/>
          <w:szCs w:val="16"/>
          <w:lang w:eastAsia="en-GB"/>
        </w:rPr>
        <w:t>3</w:t>
      </w:r>
      <w:r w:rsidRPr="00AB159F">
        <w:rPr>
          <w:rFonts w:ascii="Arial" w:eastAsia="Times New Roman" w:hAnsi="Arial" w:cs="Arial"/>
          <w:b/>
          <w:bCs/>
          <w:color w:val="FF0000"/>
          <w:lang w:eastAsia="en-GB"/>
        </w:rPr>
        <w:t xml:space="preserve">, Agustin Mendiola </w:t>
      </w:r>
      <w:r w:rsidRPr="00AB159F">
        <w:rPr>
          <w:rFonts w:ascii="Arial" w:eastAsia="Times New Roman" w:hAnsi="Arial" w:cs="Arial"/>
          <w:b/>
          <w:bCs/>
          <w:color w:val="FF0000"/>
          <w:position w:val="8"/>
          <w:sz w:val="16"/>
          <w:szCs w:val="16"/>
          <w:lang w:eastAsia="en-GB"/>
        </w:rPr>
        <w:t>2</w:t>
      </w:r>
      <w:r w:rsidRPr="00AB159F">
        <w:rPr>
          <w:rFonts w:ascii="Arial" w:eastAsia="Times New Roman" w:hAnsi="Arial" w:cs="Arial"/>
          <w:b/>
          <w:bCs/>
          <w:color w:val="FF0000"/>
          <w:lang w:eastAsia="en-GB"/>
        </w:rPr>
        <w:t xml:space="preserve">, Tirso Perez-Medina </w:t>
      </w:r>
      <w:r w:rsidRPr="00AB159F">
        <w:rPr>
          <w:rFonts w:ascii="Arial" w:eastAsia="Times New Roman" w:hAnsi="Arial" w:cs="Arial"/>
          <w:b/>
          <w:bCs/>
          <w:color w:val="FF0000"/>
          <w:position w:val="8"/>
          <w:sz w:val="16"/>
          <w:szCs w:val="16"/>
          <w:lang w:eastAsia="en-GB"/>
        </w:rPr>
        <w:t xml:space="preserve">1 </w:t>
      </w:r>
      <w:r w:rsidRPr="00AB159F">
        <w:rPr>
          <w:rFonts w:ascii="Arial" w:eastAsia="Times New Roman" w:hAnsi="Arial" w:cs="Arial"/>
          <w:b/>
          <w:bCs/>
          <w:color w:val="FF0000"/>
          <w:lang w:eastAsia="en-GB"/>
        </w:rPr>
        <w:t xml:space="preserve">J </w:t>
      </w:r>
      <w:proofErr w:type="spellStart"/>
      <w:r w:rsidRPr="00AB159F">
        <w:rPr>
          <w:rFonts w:ascii="Arial" w:eastAsia="Times New Roman" w:hAnsi="Arial" w:cs="Arial"/>
          <w:b/>
          <w:bCs/>
          <w:color w:val="FF0000"/>
          <w:lang w:eastAsia="en-GB"/>
        </w:rPr>
        <w:t>Pers</w:t>
      </w:r>
      <w:proofErr w:type="spellEnd"/>
      <w:r w:rsidRPr="00AB159F">
        <w:rPr>
          <w:rFonts w:ascii="Arial" w:eastAsia="Times New Roman" w:hAnsi="Arial" w:cs="Arial"/>
          <w:b/>
          <w:bCs/>
          <w:color w:val="FF0000"/>
          <w:lang w:eastAsia="en-GB"/>
        </w:rPr>
        <w:t xml:space="preserve"> Med. 2022 Jan 13;12(1</w:t>
      </w:r>
      <w:proofErr w:type="gramStart"/>
      <w:r w:rsidRPr="00AB159F">
        <w:rPr>
          <w:rFonts w:ascii="Arial" w:eastAsia="Times New Roman" w:hAnsi="Arial" w:cs="Arial"/>
          <w:b/>
          <w:bCs/>
          <w:color w:val="FF0000"/>
          <w:lang w:eastAsia="en-GB"/>
        </w:rPr>
        <w:t>):101.doi</w:t>
      </w:r>
      <w:proofErr w:type="gramEnd"/>
      <w:r w:rsidRPr="00AB159F">
        <w:rPr>
          <w:rFonts w:ascii="Arial" w:eastAsia="Times New Roman" w:hAnsi="Arial" w:cs="Arial"/>
          <w:b/>
          <w:bCs/>
          <w:color w:val="FF0000"/>
          <w:lang w:eastAsia="en-GB"/>
        </w:rPr>
        <w:t xml:space="preserve">: 10.3390/jpm12010101. </w:t>
      </w:r>
    </w:p>
    <w:p w14:paraId="6084C74B" w14:textId="77777777" w:rsidR="00AB159F" w:rsidRPr="00AB159F" w:rsidRDefault="00AB159F" w:rsidP="00AB159F">
      <w:pPr>
        <w:spacing w:before="100" w:beforeAutospacing="1" w:after="100" w:afterAutospacing="1"/>
        <w:rPr>
          <w:rFonts w:ascii="Times New Roman" w:eastAsia="Times New Roman" w:hAnsi="Times New Roman" w:cs="Times New Roman"/>
          <w:lang w:eastAsia="en-GB"/>
        </w:rPr>
      </w:pPr>
      <w:r w:rsidRPr="00AB159F">
        <w:rPr>
          <w:rFonts w:ascii="ArialMT" w:eastAsia="Times New Roman" w:hAnsi="ArialMT" w:cs="Times New Roman"/>
          <w:lang w:eastAsia="en-GB"/>
        </w:rPr>
        <w:t xml:space="preserve">Abstract </w:t>
      </w:r>
    </w:p>
    <w:p w14:paraId="60DE63E2" w14:textId="77777777" w:rsidR="00AB159F" w:rsidRPr="00AB159F" w:rsidRDefault="00AB159F" w:rsidP="00AB159F">
      <w:pPr>
        <w:spacing w:before="100" w:beforeAutospacing="1" w:after="100" w:afterAutospacing="1"/>
        <w:rPr>
          <w:rFonts w:ascii="Times New Roman" w:eastAsia="Times New Roman" w:hAnsi="Times New Roman" w:cs="Times New Roman"/>
          <w:lang w:eastAsia="en-GB"/>
        </w:rPr>
      </w:pPr>
      <w:r w:rsidRPr="00AB159F">
        <w:rPr>
          <w:rFonts w:ascii="ArialMT" w:eastAsia="Times New Roman" w:hAnsi="ArialMT" w:cs="Times New Roman"/>
          <w:lang w:eastAsia="en-GB"/>
        </w:rPr>
        <w:t xml:space="preserve">Background: Although several treatments are currently available for chronic pelvic pain, 30-60% of patients do not respond to them. Therefore, these therapeutic options require a better understanding of the mechanisms underlying endometriosis- induced pain. This study focuses on pain management after failure of conventional therapy. </w:t>
      </w:r>
    </w:p>
    <w:p w14:paraId="4EAAB48F" w14:textId="77777777" w:rsidR="00AB159F" w:rsidRPr="00AB159F" w:rsidRDefault="00AB159F" w:rsidP="00AB159F">
      <w:pPr>
        <w:spacing w:before="100" w:beforeAutospacing="1" w:after="100" w:afterAutospacing="1"/>
        <w:rPr>
          <w:rFonts w:ascii="Times New Roman" w:eastAsia="Times New Roman" w:hAnsi="Times New Roman" w:cs="Times New Roman"/>
          <w:lang w:eastAsia="en-GB"/>
        </w:rPr>
      </w:pPr>
      <w:r w:rsidRPr="00AB159F">
        <w:rPr>
          <w:rFonts w:ascii="ArialMT" w:eastAsia="Times New Roman" w:hAnsi="ArialMT" w:cs="Times New Roman"/>
          <w:lang w:eastAsia="en-GB"/>
        </w:rPr>
        <w:t xml:space="preserve">Methods: We reviewed clinical data from 46 patients with endometriosis and chronic pelvic pain unresponsive to conventional therapies at Puerta de </w:t>
      </w:r>
      <w:proofErr w:type="spellStart"/>
      <w:r w:rsidRPr="00AB159F">
        <w:rPr>
          <w:rFonts w:ascii="ArialMT" w:eastAsia="Times New Roman" w:hAnsi="ArialMT" w:cs="Times New Roman"/>
          <w:lang w:eastAsia="en-GB"/>
        </w:rPr>
        <w:t>Hierro</w:t>
      </w:r>
      <w:proofErr w:type="spellEnd"/>
      <w:r w:rsidRPr="00AB159F">
        <w:rPr>
          <w:rFonts w:ascii="ArialMT" w:eastAsia="Times New Roman" w:hAnsi="ArialMT" w:cs="Times New Roman"/>
          <w:lang w:eastAsia="en-GB"/>
        </w:rPr>
        <w:t xml:space="preserve"> University Hospital Madrid, Spain from 2018 to 2021. Demographic data, clinical and exploratory findings, treatment received, and outcomes were collected. </w:t>
      </w:r>
    </w:p>
    <w:p w14:paraId="2C2D6D84" w14:textId="085E2812" w:rsidR="00AB159F" w:rsidRPr="00AB159F" w:rsidRDefault="00AB159F" w:rsidP="00AB159F">
      <w:pPr>
        <w:spacing w:before="100" w:beforeAutospacing="1" w:after="100" w:afterAutospacing="1"/>
        <w:rPr>
          <w:rFonts w:ascii="Times New Roman" w:eastAsia="Times New Roman" w:hAnsi="Times New Roman" w:cs="Times New Roman"/>
          <w:lang w:eastAsia="en-GB"/>
        </w:rPr>
      </w:pPr>
      <w:r w:rsidRPr="00AB159F">
        <w:rPr>
          <w:rFonts w:ascii="ArialMT" w:eastAsia="Times New Roman" w:hAnsi="ArialMT" w:cs="Times New Roman"/>
          <w:lang w:eastAsia="en-GB"/>
        </w:rPr>
        <w:t xml:space="preserve">Results: Median age was 41.5 years, and median pain intensity was VAS: 7.8/10. Nociceptive pain and neuropathic pain were identified in 98% and 70% of patients, respectively. The most common symptom was abdominal pain (78.2%) followed by pain with sexual intercourse (65.2%), rectal pain (52.1%), and urologic pain (36.9%). A total of 43% of patients responded to treatment with neuromodulators. Combined therapies for myofascial pain syndrome, as well as treatment of visceral pain with inferior or superior hypogastric plexus blocks, proved to be very beneficial. S3 pulsed radiofrequency (PRF) plus inferior hypogastric plexus block or botulinum toxin enabled us to prolong response time by more than 3.5 months. </w:t>
      </w:r>
    </w:p>
    <w:p w14:paraId="65CF3120" w14:textId="77777777" w:rsidR="00AB159F" w:rsidRPr="00AB159F" w:rsidRDefault="00AB159F" w:rsidP="00AB159F">
      <w:pPr>
        <w:spacing w:before="100" w:beforeAutospacing="1" w:after="100" w:afterAutospacing="1"/>
        <w:rPr>
          <w:rFonts w:ascii="Times New Roman" w:eastAsia="Times New Roman" w:hAnsi="Times New Roman" w:cs="Times New Roman"/>
          <w:lang w:eastAsia="en-GB"/>
        </w:rPr>
      </w:pPr>
      <w:r w:rsidRPr="00AB159F">
        <w:rPr>
          <w:rFonts w:ascii="ArialMT" w:eastAsia="Times New Roman" w:hAnsi="ArialMT" w:cs="Times New Roman"/>
          <w:lang w:eastAsia="en-GB"/>
        </w:rPr>
        <w:t xml:space="preserve">Conclusion: Treatment of the unresponsive patient should be interdisciplinary. Depending on the history and exploratory findings, therapy should preferably be combined with neuromodulators, myofascial pain therapies, and S3 PRF plus inferior hypogastric plexus blockade. </w:t>
      </w:r>
    </w:p>
    <w:p w14:paraId="589C801A" w14:textId="77777777" w:rsidR="00AB159F" w:rsidRPr="00AB159F" w:rsidRDefault="00AB159F" w:rsidP="00AB159F">
      <w:pPr>
        <w:spacing w:before="100" w:beforeAutospacing="1" w:after="100" w:afterAutospacing="1"/>
        <w:rPr>
          <w:rFonts w:ascii="Times New Roman" w:eastAsia="Times New Roman" w:hAnsi="Times New Roman" w:cs="Times New Roman"/>
          <w:lang w:eastAsia="en-GB"/>
        </w:rPr>
      </w:pPr>
      <w:r w:rsidRPr="00AB159F">
        <w:rPr>
          <w:rFonts w:ascii="ArialMT" w:eastAsia="Times New Roman" w:hAnsi="ArialMT" w:cs="Times New Roman"/>
          <w:lang w:eastAsia="en-GB"/>
        </w:rPr>
        <w:t xml:space="preserve">Keywords: amitriptyline; botulinum toxin; diazepam; endometriosis; hypogastric plexus blockade; medical treatment; non-responders; pain; physiotherapy; pulsed radiofrequency. </w:t>
      </w:r>
    </w:p>
    <w:p w14:paraId="38125469"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59F"/>
    <w:rsid w:val="00432D50"/>
    <w:rsid w:val="00A74000"/>
    <w:rsid w:val="00AB159F"/>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B8DFC10"/>
  <w15:chartTrackingRefBased/>
  <w15:docId w15:val="{789EE40C-470C-4D4B-8DEF-60DA4793D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B159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7559896">
      <w:bodyDiv w:val="1"/>
      <w:marLeft w:val="0"/>
      <w:marRight w:val="0"/>
      <w:marTop w:val="0"/>
      <w:marBottom w:val="0"/>
      <w:divBdr>
        <w:top w:val="none" w:sz="0" w:space="0" w:color="auto"/>
        <w:left w:val="none" w:sz="0" w:space="0" w:color="auto"/>
        <w:bottom w:val="none" w:sz="0" w:space="0" w:color="auto"/>
        <w:right w:val="none" w:sz="0" w:space="0" w:color="auto"/>
      </w:divBdr>
      <w:divsChild>
        <w:div w:id="1604800337">
          <w:marLeft w:val="0"/>
          <w:marRight w:val="0"/>
          <w:marTop w:val="0"/>
          <w:marBottom w:val="0"/>
          <w:divBdr>
            <w:top w:val="none" w:sz="0" w:space="0" w:color="auto"/>
            <w:left w:val="none" w:sz="0" w:space="0" w:color="auto"/>
            <w:bottom w:val="none" w:sz="0" w:space="0" w:color="auto"/>
            <w:right w:val="none" w:sz="0" w:space="0" w:color="auto"/>
          </w:divBdr>
          <w:divsChild>
            <w:div w:id="854540255">
              <w:marLeft w:val="0"/>
              <w:marRight w:val="0"/>
              <w:marTop w:val="0"/>
              <w:marBottom w:val="0"/>
              <w:divBdr>
                <w:top w:val="none" w:sz="0" w:space="0" w:color="auto"/>
                <w:left w:val="none" w:sz="0" w:space="0" w:color="auto"/>
                <w:bottom w:val="none" w:sz="0" w:space="0" w:color="auto"/>
                <w:right w:val="none" w:sz="0" w:space="0" w:color="auto"/>
              </w:divBdr>
              <w:divsChild>
                <w:div w:id="7505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313741">
          <w:marLeft w:val="0"/>
          <w:marRight w:val="0"/>
          <w:marTop w:val="0"/>
          <w:marBottom w:val="0"/>
          <w:divBdr>
            <w:top w:val="none" w:sz="0" w:space="0" w:color="auto"/>
            <w:left w:val="none" w:sz="0" w:space="0" w:color="auto"/>
            <w:bottom w:val="none" w:sz="0" w:space="0" w:color="auto"/>
            <w:right w:val="none" w:sz="0" w:space="0" w:color="auto"/>
          </w:divBdr>
          <w:divsChild>
            <w:div w:id="740100252">
              <w:marLeft w:val="0"/>
              <w:marRight w:val="0"/>
              <w:marTop w:val="0"/>
              <w:marBottom w:val="0"/>
              <w:divBdr>
                <w:top w:val="none" w:sz="0" w:space="0" w:color="auto"/>
                <w:left w:val="none" w:sz="0" w:space="0" w:color="auto"/>
                <w:bottom w:val="none" w:sz="0" w:space="0" w:color="auto"/>
                <w:right w:val="none" w:sz="0" w:space="0" w:color="auto"/>
              </w:divBdr>
              <w:divsChild>
                <w:div w:id="7425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317</Words>
  <Characters>1808</Characters>
  <Application>Microsoft Office Word</Application>
  <DocSecurity>0</DocSecurity>
  <Lines>15</Lines>
  <Paragraphs>4</Paragraphs>
  <ScaleCrop>false</ScaleCrop>
  <Company/>
  <LinksUpToDate>false</LinksUpToDate>
  <CharactersWithSpaces>2121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2022-02-13T20:52:00Z</dcterms:created>
  <dcterms:modified xsi:type="dcterms:W3CDTF">2022-02-13T20:53:00Z</dcterms:modified>
</cp:coreProperties>
</file>