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04D9A" w14:textId="1CBB30F2"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 w:eastAsia="Times New Roman" w:hAnsi="Arial" w:cs="Arial"/>
          <w:b/>
          <w:bCs/>
          <w:color w:val="FF0000"/>
          <w:lang w:eastAsia="en-GB"/>
        </w:rPr>
        <w:t>56.</w:t>
      </w:r>
      <w:r>
        <w:rPr>
          <w:rFonts w:ascii="Arial" w:eastAsia="Times New Roman" w:hAnsi="Arial" w:cs="Arial"/>
          <w:b/>
          <w:bCs/>
          <w:color w:val="FF0000"/>
          <w:lang w:eastAsia="en-GB"/>
        </w:rPr>
        <w:t xml:space="preserve"> </w:t>
      </w:r>
      <w:r w:rsidRPr="00496927">
        <w:rPr>
          <w:rFonts w:ascii="Arial" w:eastAsia="Times New Roman" w:hAnsi="Arial" w:cs="Arial"/>
          <w:b/>
          <w:bCs/>
          <w:color w:val="FF0000"/>
          <w:lang w:eastAsia="en-GB"/>
        </w:rPr>
        <w:t xml:space="preserve">Expression of lncRNA NEAT1 in endometriosis and its biological functions in ectopic endometrial cells as mediated via miR-124-3p </w:t>
      </w:r>
    </w:p>
    <w:p w14:paraId="16339786" w14:textId="18CD72D6" w:rsidR="00496927" w:rsidRPr="00496927" w:rsidRDefault="00496927" w:rsidP="00496927">
      <w:pPr>
        <w:spacing w:before="100" w:beforeAutospacing="1" w:after="100" w:afterAutospacing="1"/>
        <w:rPr>
          <w:rFonts w:ascii="Times New Roman" w:eastAsia="Times New Roman" w:hAnsi="Times New Roman" w:cs="Times New Roman"/>
          <w:lang w:eastAsia="en-GB"/>
        </w:rPr>
      </w:pPr>
      <w:proofErr w:type="spellStart"/>
      <w:r w:rsidRPr="00496927">
        <w:rPr>
          <w:rFonts w:ascii="Arial" w:eastAsia="Times New Roman" w:hAnsi="Arial" w:cs="Arial"/>
          <w:b/>
          <w:bCs/>
          <w:color w:val="FF0000"/>
          <w:lang w:eastAsia="en-GB"/>
        </w:rPr>
        <w:t>Donglan</w:t>
      </w:r>
      <w:proofErr w:type="spellEnd"/>
      <w:r w:rsidRPr="00496927">
        <w:rPr>
          <w:rFonts w:ascii="Arial" w:eastAsia="Times New Roman" w:hAnsi="Arial" w:cs="Arial"/>
          <w:b/>
          <w:bCs/>
          <w:color w:val="FF0000"/>
          <w:lang w:eastAsia="en-GB"/>
        </w:rPr>
        <w:t xml:space="preserve"> Yuan </w:t>
      </w:r>
      <w:r w:rsidRPr="00496927">
        <w:rPr>
          <w:rFonts w:ascii="Arial" w:eastAsia="Times New Roman" w:hAnsi="Arial" w:cs="Arial"/>
          <w:b/>
          <w:bCs/>
          <w:color w:val="FF0000"/>
          <w:position w:val="8"/>
          <w:sz w:val="16"/>
          <w:szCs w:val="16"/>
          <w:lang w:eastAsia="en-GB"/>
        </w:rPr>
        <w:t># 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Dandan</w:t>
      </w:r>
      <w:proofErr w:type="spellEnd"/>
      <w:r w:rsidRPr="00496927">
        <w:rPr>
          <w:rFonts w:ascii="Arial" w:eastAsia="Times New Roman" w:hAnsi="Arial" w:cs="Arial"/>
          <w:b/>
          <w:bCs/>
          <w:color w:val="FF0000"/>
          <w:lang w:eastAsia="en-GB"/>
        </w:rPr>
        <w:t xml:space="preserve"> Zhu </w:t>
      </w:r>
      <w:r w:rsidRPr="00496927">
        <w:rPr>
          <w:rFonts w:ascii="Arial" w:eastAsia="Times New Roman" w:hAnsi="Arial" w:cs="Arial"/>
          <w:b/>
          <w:bCs/>
          <w:color w:val="FF0000"/>
          <w:position w:val="8"/>
          <w:sz w:val="16"/>
          <w:szCs w:val="16"/>
          <w:lang w:eastAsia="en-GB"/>
        </w:rPr>
        <w:t># 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Boyu</w:t>
      </w:r>
      <w:proofErr w:type="spellEnd"/>
      <w:r w:rsidRPr="00496927">
        <w:rPr>
          <w:rFonts w:ascii="Arial" w:eastAsia="Times New Roman" w:hAnsi="Arial" w:cs="Arial"/>
          <w:b/>
          <w:bCs/>
          <w:color w:val="FF0000"/>
          <w:lang w:eastAsia="en-GB"/>
        </w:rPr>
        <w:t xml:space="preserve"> Yin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Hongshan</w:t>
      </w:r>
      <w:proofErr w:type="spellEnd"/>
      <w:r w:rsidRPr="00496927">
        <w:rPr>
          <w:rFonts w:ascii="Arial" w:eastAsia="Times New Roman" w:hAnsi="Arial" w:cs="Arial"/>
          <w:b/>
          <w:bCs/>
          <w:color w:val="FF0000"/>
          <w:lang w:eastAsia="en-GB"/>
        </w:rPr>
        <w:t xml:space="preserve"> Ge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Yinling</w:t>
      </w:r>
      <w:proofErr w:type="spellEnd"/>
      <w:r w:rsidRPr="00496927">
        <w:rPr>
          <w:rFonts w:ascii="Arial" w:eastAsia="Times New Roman" w:hAnsi="Arial" w:cs="Arial"/>
          <w:b/>
          <w:bCs/>
          <w:color w:val="FF0000"/>
          <w:lang w:eastAsia="en-GB"/>
        </w:rPr>
        <w:br/>
        <w:t xml:space="preserve">Zhao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Aihua</w:t>
      </w:r>
      <w:proofErr w:type="spellEnd"/>
      <w:r w:rsidRPr="00496927">
        <w:rPr>
          <w:rFonts w:ascii="Arial" w:eastAsia="Times New Roman" w:hAnsi="Arial" w:cs="Arial"/>
          <w:b/>
          <w:bCs/>
          <w:color w:val="FF0000"/>
          <w:lang w:eastAsia="en-GB"/>
        </w:rPr>
        <w:t xml:space="preserve"> Huang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Xiaosu</w:t>
      </w:r>
      <w:proofErr w:type="spellEnd"/>
      <w:r w:rsidRPr="00496927">
        <w:rPr>
          <w:rFonts w:ascii="Arial" w:eastAsia="Times New Roman" w:hAnsi="Arial" w:cs="Arial"/>
          <w:b/>
          <w:bCs/>
          <w:color w:val="FF0000"/>
          <w:lang w:eastAsia="en-GB"/>
        </w:rPr>
        <w:t xml:space="preserve"> Wang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w:t>
      </w:r>
      <w:proofErr w:type="spellStart"/>
      <w:r w:rsidRPr="00496927">
        <w:rPr>
          <w:rFonts w:ascii="Arial" w:eastAsia="Times New Roman" w:hAnsi="Arial" w:cs="Arial"/>
          <w:b/>
          <w:bCs/>
          <w:color w:val="FF0000"/>
          <w:lang w:eastAsia="en-GB"/>
        </w:rPr>
        <w:t>Xiuhong</w:t>
      </w:r>
      <w:proofErr w:type="spellEnd"/>
      <w:r w:rsidRPr="00496927">
        <w:rPr>
          <w:rFonts w:ascii="Arial" w:eastAsia="Times New Roman" w:hAnsi="Arial" w:cs="Arial"/>
          <w:b/>
          <w:bCs/>
          <w:color w:val="FF0000"/>
          <w:lang w:eastAsia="en-GB"/>
        </w:rPr>
        <w:t xml:space="preserve"> Cao </w:t>
      </w:r>
      <w:r w:rsidRPr="00496927">
        <w:rPr>
          <w:rFonts w:ascii="Arial" w:eastAsia="Times New Roman" w:hAnsi="Arial" w:cs="Arial"/>
          <w:b/>
          <w:bCs/>
          <w:color w:val="FF0000"/>
          <w:position w:val="8"/>
          <w:sz w:val="16"/>
          <w:szCs w:val="16"/>
          <w:lang w:eastAsia="en-GB"/>
        </w:rPr>
        <w:t>2</w:t>
      </w:r>
      <w:r w:rsidRPr="00496927">
        <w:rPr>
          <w:rFonts w:ascii="Arial" w:eastAsia="Times New Roman" w:hAnsi="Arial" w:cs="Arial"/>
          <w:b/>
          <w:bCs/>
          <w:color w:val="FF0000"/>
          <w:lang w:eastAsia="en-GB"/>
        </w:rPr>
        <w:t xml:space="preserve">, Nan Xia </w:t>
      </w:r>
      <w:r w:rsidRPr="00496927">
        <w:rPr>
          <w:rFonts w:ascii="Arial" w:eastAsia="Times New Roman" w:hAnsi="Arial" w:cs="Arial"/>
          <w:b/>
          <w:bCs/>
          <w:color w:val="FF0000"/>
          <w:position w:val="8"/>
          <w:sz w:val="16"/>
          <w:szCs w:val="16"/>
          <w:lang w:eastAsia="en-GB"/>
        </w:rPr>
        <w:t>1</w:t>
      </w:r>
      <w:r w:rsidRPr="00496927">
        <w:rPr>
          <w:rFonts w:ascii="Arial" w:eastAsia="Times New Roman" w:hAnsi="Arial" w:cs="Arial"/>
          <w:b/>
          <w:bCs/>
          <w:color w:val="FF0000"/>
          <w:lang w:eastAsia="en-GB"/>
        </w:rPr>
        <w:t xml:space="preserve">, Hua Qian </w:t>
      </w:r>
      <w:r w:rsidRPr="00496927">
        <w:rPr>
          <w:rFonts w:ascii="Arial" w:eastAsia="Times New Roman" w:hAnsi="Arial" w:cs="Arial"/>
          <w:b/>
          <w:bCs/>
          <w:color w:val="FF0000"/>
          <w:position w:val="8"/>
          <w:sz w:val="16"/>
          <w:szCs w:val="16"/>
          <w:lang w:eastAsia="en-GB"/>
        </w:rPr>
        <w:t xml:space="preserve">3 </w:t>
      </w:r>
      <w:r w:rsidRPr="00496927">
        <w:rPr>
          <w:rFonts w:ascii="Arial" w:eastAsia="Times New Roman" w:hAnsi="Arial" w:cs="Arial"/>
          <w:b/>
          <w:bCs/>
          <w:color w:val="FF0000"/>
          <w:lang w:eastAsia="en-GB"/>
        </w:rPr>
        <w:t xml:space="preserve">Genes Genomics. 2022 Jan 30.doi: 10.1007/s13258-021-01184-y. Online ahead of print. </w:t>
      </w:r>
    </w:p>
    <w:p w14:paraId="5448BAAF"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Abstract </w:t>
      </w:r>
    </w:p>
    <w:p w14:paraId="052E9E99"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Background: Endometriosis (EM) is a </w:t>
      </w:r>
      <w:proofErr w:type="spellStart"/>
      <w:r w:rsidRPr="00496927">
        <w:rPr>
          <w:rFonts w:ascii="ArialMT" w:eastAsia="Times New Roman" w:hAnsi="ArialMT" w:cs="Times New Roman"/>
          <w:lang w:eastAsia="en-GB"/>
        </w:rPr>
        <w:t>gynecological</w:t>
      </w:r>
      <w:proofErr w:type="spellEnd"/>
      <w:r w:rsidRPr="00496927">
        <w:rPr>
          <w:rFonts w:ascii="ArialMT" w:eastAsia="Times New Roman" w:hAnsi="ArialMT" w:cs="Times New Roman"/>
          <w:lang w:eastAsia="en-GB"/>
        </w:rPr>
        <w:t xml:space="preserve"> disease that poses severe health risks to women, although its pathogenesis has yet to be fully elucidated. It has been shown that long non-coding RNAs (</w:t>
      </w:r>
      <w:proofErr w:type="spellStart"/>
      <w:r w:rsidRPr="00496927">
        <w:rPr>
          <w:rFonts w:ascii="ArialMT" w:eastAsia="Times New Roman" w:hAnsi="ArialMT" w:cs="Times New Roman"/>
          <w:lang w:eastAsia="en-GB"/>
        </w:rPr>
        <w:t>lncRNAs</w:t>
      </w:r>
      <w:proofErr w:type="spellEnd"/>
      <w:r w:rsidRPr="00496927">
        <w:rPr>
          <w:rFonts w:ascii="ArialMT" w:eastAsia="Times New Roman" w:hAnsi="ArialMT" w:cs="Times New Roman"/>
          <w:lang w:eastAsia="en-GB"/>
        </w:rPr>
        <w:t xml:space="preserve">) are closely associated with EM initiation and have a role in the development of this disease. Previous studies exploring the expression of the lncRNA nuclear paraspeckle assembly transcript 1 (NEAT1) have shown that this lncRNA functions as a </w:t>
      </w:r>
      <w:proofErr w:type="spellStart"/>
      <w:r w:rsidRPr="00496927">
        <w:rPr>
          <w:rFonts w:ascii="ArialMT" w:eastAsia="Times New Roman" w:hAnsi="ArialMT" w:cs="Times New Roman"/>
          <w:lang w:eastAsia="en-GB"/>
        </w:rPr>
        <w:t>tumor</w:t>
      </w:r>
      <w:proofErr w:type="spellEnd"/>
      <w:r w:rsidRPr="00496927">
        <w:rPr>
          <w:rFonts w:ascii="ArialMT" w:eastAsia="Times New Roman" w:hAnsi="ArialMT" w:cs="Times New Roman"/>
          <w:lang w:eastAsia="en-GB"/>
        </w:rPr>
        <w:t xml:space="preserve"> promoter in endometrial cancer. However, its exact mechanism of action in EM remains unclear. </w:t>
      </w:r>
    </w:p>
    <w:p w14:paraId="688710F2"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Objective: This report was designed to illustrate the potential molecular mechanisms of lncRNA NEAT1 on EM. </w:t>
      </w:r>
    </w:p>
    <w:p w14:paraId="20A20B0D" w14:textId="5451660A"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Methods: Endometrial tissues were extracted from EM model rats and patients with EM. </w:t>
      </w:r>
      <w:proofErr w:type="spellStart"/>
      <w:r w:rsidRPr="00496927">
        <w:rPr>
          <w:rFonts w:ascii="ArialMT" w:eastAsia="Times New Roman" w:hAnsi="ArialMT" w:cs="Times New Roman"/>
          <w:lang w:eastAsia="en-GB"/>
        </w:rPr>
        <w:t>Hematoxylin</w:t>
      </w:r>
      <w:proofErr w:type="spellEnd"/>
      <w:r w:rsidRPr="00496927">
        <w:rPr>
          <w:rFonts w:ascii="ArialMT" w:eastAsia="Times New Roman" w:hAnsi="ArialMT" w:cs="Times New Roman"/>
          <w:lang w:eastAsia="en-GB"/>
        </w:rPr>
        <w:t xml:space="preserve"> and eosin staining was applied to detect the morphological changes that occurred in rats after construction of the model. Endometrial stromal cells (ESCs) were extracted from either ectopic endometrium (EC) or </w:t>
      </w:r>
      <w:proofErr w:type="spellStart"/>
      <w:r w:rsidRPr="00496927">
        <w:rPr>
          <w:rFonts w:ascii="ArialMT" w:eastAsia="Times New Roman" w:hAnsi="ArialMT" w:cs="Times New Roman"/>
          <w:lang w:eastAsia="en-GB"/>
        </w:rPr>
        <w:t>eutopic</w:t>
      </w:r>
      <w:proofErr w:type="spellEnd"/>
      <w:r w:rsidRPr="00496927">
        <w:rPr>
          <w:rFonts w:ascii="ArialMT" w:eastAsia="Times New Roman" w:hAnsi="ArialMT" w:cs="Times New Roman"/>
          <w:lang w:eastAsia="en-GB"/>
        </w:rPr>
        <w:t xml:space="preserve"> endometrium (EU) tissues from patients with EM. LncRNA NEAT1 and miR-124-3p expression in EM tissues and cells were subsequently evaluated by reverse transcription-quantitative (RT-q)</w:t>
      </w:r>
      <w:r>
        <w:rPr>
          <w:rFonts w:ascii="ArialMT" w:eastAsia="Times New Roman" w:hAnsi="ArialMT" w:cs="Times New Roman"/>
          <w:lang w:eastAsia="en-GB"/>
        </w:rPr>
        <w:t xml:space="preserve"> </w:t>
      </w:r>
      <w:r w:rsidRPr="00496927">
        <w:rPr>
          <w:rFonts w:ascii="ArialMT" w:eastAsia="Times New Roman" w:hAnsi="ArialMT" w:cs="Times New Roman"/>
          <w:lang w:eastAsia="en-GB"/>
        </w:rPr>
        <w:t xml:space="preserve">PCR analysis. MTT assay, flow cytometric analysis, western blot assay and </w:t>
      </w:r>
      <w:proofErr w:type="spellStart"/>
      <w:r w:rsidRPr="00496927">
        <w:rPr>
          <w:rFonts w:ascii="ArialMT" w:eastAsia="Times New Roman" w:hAnsi="ArialMT" w:cs="Times New Roman"/>
          <w:lang w:eastAsia="en-GB"/>
        </w:rPr>
        <w:t>Transwell</w:t>
      </w:r>
      <w:proofErr w:type="spellEnd"/>
      <w:r w:rsidRPr="00496927">
        <w:rPr>
          <w:rFonts w:ascii="ArialMT" w:eastAsia="Times New Roman" w:hAnsi="ArialMT" w:cs="Times New Roman"/>
          <w:lang w:eastAsia="en-GB"/>
        </w:rPr>
        <w:t xml:space="preserve"> assay were then employed to examine the effect of NEAT1 and miR-124-3p on EC-ESC proliferation, apoptosis, migration and invasion, respectively. The targeted relationship between lncRNA NEAT1 and </w:t>
      </w:r>
      <w:proofErr w:type="spellStart"/>
      <w:r w:rsidRPr="00496927">
        <w:rPr>
          <w:rFonts w:ascii="ArialMT" w:eastAsia="Times New Roman" w:hAnsi="ArialMT" w:cs="Times New Roman"/>
          <w:lang w:eastAsia="en-GB"/>
        </w:rPr>
        <w:t>miR</w:t>
      </w:r>
      <w:proofErr w:type="spellEnd"/>
      <w:r w:rsidRPr="00496927">
        <w:rPr>
          <w:rFonts w:ascii="ArialMT" w:eastAsia="Times New Roman" w:hAnsi="ArialMT" w:cs="Times New Roman"/>
          <w:lang w:eastAsia="en-GB"/>
        </w:rPr>
        <w:t xml:space="preserve">- 124-3p was subsequently confirmed by dual-luciferase and co-transfection assays. </w:t>
      </w:r>
    </w:p>
    <w:p w14:paraId="038EC439"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Results: MiR-124-3p was identified as a target of </w:t>
      </w:r>
      <w:proofErr w:type="gramStart"/>
      <w:r w:rsidRPr="00496927">
        <w:rPr>
          <w:rFonts w:ascii="ArialMT" w:eastAsia="Times New Roman" w:hAnsi="ArialMT" w:cs="Times New Roman"/>
          <w:lang w:eastAsia="en-GB"/>
        </w:rPr>
        <w:t>NEAT1, and</w:t>
      </w:r>
      <w:proofErr w:type="gramEnd"/>
      <w:r w:rsidRPr="00496927">
        <w:rPr>
          <w:rFonts w:ascii="ArialMT" w:eastAsia="Times New Roman" w:hAnsi="ArialMT" w:cs="Times New Roman"/>
          <w:lang w:eastAsia="en-GB"/>
        </w:rPr>
        <w:t xml:space="preserve"> could be negatively regulated by NEAT1 in EC-ESCs. The expression level of NEAT1 was evidently increased, whereas that of miR-124-3p was decreased, in the EM in vivo model, EM tissues and EC-ESCs from patients with EM. The loss-of-function assays further established that silencing of NEAT1 could inhibit EC-ESC proliferation, migration, and invasion, but it led to the promotion of apoptosis via targeting miR-124-3p. </w:t>
      </w:r>
    </w:p>
    <w:p w14:paraId="170A71A9"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Conclusions: NEAT1 is significantly upregulated in EM, promoting malignant </w:t>
      </w:r>
      <w:proofErr w:type="spellStart"/>
      <w:r w:rsidRPr="00496927">
        <w:rPr>
          <w:rFonts w:ascii="ArialMT" w:eastAsia="Times New Roman" w:hAnsi="ArialMT" w:cs="Times New Roman"/>
          <w:lang w:eastAsia="en-GB"/>
        </w:rPr>
        <w:t>behavior</w:t>
      </w:r>
      <w:proofErr w:type="spellEnd"/>
      <w:r w:rsidRPr="00496927">
        <w:rPr>
          <w:rFonts w:ascii="ArialMT" w:eastAsia="Times New Roman" w:hAnsi="ArialMT" w:cs="Times New Roman"/>
          <w:lang w:eastAsia="en-GB"/>
        </w:rPr>
        <w:t xml:space="preserve"> in EM through targeting miR-124-3p expression. </w:t>
      </w:r>
    </w:p>
    <w:p w14:paraId="06B727A8" w14:textId="77777777" w:rsidR="00496927" w:rsidRPr="00496927" w:rsidRDefault="00496927" w:rsidP="00496927">
      <w:pPr>
        <w:spacing w:before="100" w:beforeAutospacing="1" w:after="100" w:afterAutospacing="1"/>
        <w:rPr>
          <w:rFonts w:ascii="Times New Roman" w:eastAsia="Times New Roman" w:hAnsi="Times New Roman" w:cs="Times New Roman"/>
          <w:lang w:eastAsia="en-GB"/>
        </w:rPr>
      </w:pPr>
      <w:r w:rsidRPr="00496927">
        <w:rPr>
          <w:rFonts w:ascii="ArialMT" w:eastAsia="Times New Roman" w:hAnsi="ArialMT" w:cs="Times New Roman"/>
          <w:lang w:eastAsia="en-GB"/>
        </w:rPr>
        <w:t xml:space="preserve">Keywords: Auto-transplantation; Endometriosis; </w:t>
      </w:r>
      <w:proofErr w:type="spellStart"/>
      <w:r w:rsidRPr="00496927">
        <w:rPr>
          <w:rFonts w:ascii="ArialMT" w:eastAsia="Times New Roman" w:hAnsi="ArialMT" w:cs="Times New Roman"/>
          <w:lang w:eastAsia="en-GB"/>
        </w:rPr>
        <w:t>Eutopic</w:t>
      </w:r>
      <w:proofErr w:type="spellEnd"/>
      <w:r w:rsidRPr="00496927">
        <w:rPr>
          <w:rFonts w:ascii="ArialMT" w:eastAsia="Times New Roman" w:hAnsi="ArialMT" w:cs="Times New Roman"/>
          <w:lang w:eastAsia="en-GB"/>
        </w:rPr>
        <w:t xml:space="preserve"> endometrium; Long non- coding </w:t>
      </w:r>
      <w:proofErr w:type="spellStart"/>
      <w:r w:rsidRPr="00496927">
        <w:rPr>
          <w:rFonts w:ascii="ArialMT" w:eastAsia="Times New Roman" w:hAnsi="ArialMT" w:cs="Times New Roman"/>
          <w:lang w:eastAsia="en-GB"/>
        </w:rPr>
        <w:t>cRNA</w:t>
      </w:r>
      <w:proofErr w:type="spellEnd"/>
      <w:r w:rsidRPr="00496927">
        <w:rPr>
          <w:rFonts w:ascii="ArialMT" w:eastAsia="Times New Roman" w:hAnsi="ArialMT" w:cs="Times New Roman"/>
          <w:lang w:eastAsia="en-GB"/>
        </w:rPr>
        <w:t xml:space="preserve"> NEAT1; microRNA-124-3p. </w:t>
      </w:r>
    </w:p>
    <w:p w14:paraId="419BF3D2"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927"/>
    <w:rsid w:val="00432D50"/>
    <w:rsid w:val="00496927"/>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025ABC"/>
  <w15:chartTrackingRefBased/>
  <w15:docId w15:val="{19489FA1-04AB-8D4C-814A-DFB5B0E2A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692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7592723">
      <w:bodyDiv w:val="1"/>
      <w:marLeft w:val="0"/>
      <w:marRight w:val="0"/>
      <w:marTop w:val="0"/>
      <w:marBottom w:val="0"/>
      <w:divBdr>
        <w:top w:val="none" w:sz="0" w:space="0" w:color="auto"/>
        <w:left w:val="none" w:sz="0" w:space="0" w:color="auto"/>
        <w:bottom w:val="none" w:sz="0" w:space="0" w:color="auto"/>
        <w:right w:val="none" w:sz="0" w:space="0" w:color="auto"/>
      </w:divBdr>
      <w:divsChild>
        <w:div w:id="963542193">
          <w:marLeft w:val="0"/>
          <w:marRight w:val="0"/>
          <w:marTop w:val="0"/>
          <w:marBottom w:val="0"/>
          <w:divBdr>
            <w:top w:val="none" w:sz="0" w:space="0" w:color="auto"/>
            <w:left w:val="none" w:sz="0" w:space="0" w:color="auto"/>
            <w:bottom w:val="none" w:sz="0" w:space="0" w:color="auto"/>
            <w:right w:val="none" w:sz="0" w:space="0" w:color="auto"/>
          </w:divBdr>
          <w:divsChild>
            <w:div w:id="93861416">
              <w:marLeft w:val="0"/>
              <w:marRight w:val="0"/>
              <w:marTop w:val="0"/>
              <w:marBottom w:val="0"/>
              <w:divBdr>
                <w:top w:val="none" w:sz="0" w:space="0" w:color="auto"/>
                <w:left w:val="none" w:sz="0" w:space="0" w:color="auto"/>
                <w:bottom w:val="none" w:sz="0" w:space="0" w:color="auto"/>
                <w:right w:val="none" w:sz="0" w:space="0" w:color="auto"/>
              </w:divBdr>
              <w:divsChild>
                <w:div w:id="35160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8991">
          <w:marLeft w:val="0"/>
          <w:marRight w:val="0"/>
          <w:marTop w:val="0"/>
          <w:marBottom w:val="0"/>
          <w:divBdr>
            <w:top w:val="none" w:sz="0" w:space="0" w:color="auto"/>
            <w:left w:val="none" w:sz="0" w:space="0" w:color="auto"/>
            <w:bottom w:val="none" w:sz="0" w:space="0" w:color="auto"/>
            <w:right w:val="none" w:sz="0" w:space="0" w:color="auto"/>
          </w:divBdr>
          <w:divsChild>
            <w:div w:id="205072067">
              <w:marLeft w:val="0"/>
              <w:marRight w:val="0"/>
              <w:marTop w:val="0"/>
              <w:marBottom w:val="0"/>
              <w:divBdr>
                <w:top w:val="none" w:sz="0" w:space="0" w:color="auto"/>
                <w:left w:val="none" w:sz="0" w:space="0" w:color="auto"/>
                <w:bottom w:val="none" w:sz="0" w:space="0" w:color="auto"/>
                <w:right w:val="none" w:sz="0" w:space="0" w:color="auto"/>
              </w:divBdr>
              <w:divsChild>
                <w:div w:id="1341271277">
                  <w:marLeft w:val="0"/>
                  <w:marRight w:val="0"/>
                  <w:marTop w:val="0"/>
                  <w:marBottom w:val="0"/>
                  <w:divBdr>
                    <w:top w:val="none" w:sz="0" w:space="0" w:color="auto"/>
                    <w:left w:val="none" w:sz="0" w:space="0" w:color="auto"/>
                    <w:bottom w:val="none" w:sz="0" w:space="0" w:color="auto"/>
                    <w:right w:val="none" w:sz="0" w:space="0" w:color="auto"/>
                  </w:divBdr>
                </w:div>
              </w:divsChild>
            </w:div>
            <w:div w:id="158272717">
              <w:marLeft w:val="0"/>
              <w:marRight w:val="0"/>
              <w:marTop w:val="0"/>
              <w:marBottom w:val="0"/>
              <w:divBdr>
                <w:top w:val="none" w:sz="0" w:space="0" w:color="auto"/>
                <w:left w:val="none" w:sz="0" w:space="0" w:color="auto"/>
                <w:bottom w:val="none" w:sz="0" w:space="0" w:color="auto"/>
                <w:right w:val="none" w:sz="0" w:space="0" w:color="auto"/>
              </w:divBdr>
              <w:divsChild>
                <w:div w:id="63367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392</Words>
  <Characters>2240</Characters>
  <Application>Microsoft Office Word</Application>
  <DocSecurity>0</DocSecurity>
  <Lines>18</Lines>
  <Paragraphs>5</Paragraphs>
  <ScaleCrop>false</ScaleCrop>
  <Company/>
  <LinksUpToDate>false</LinksUpToDate>
  <CharactersWithSpaces>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2022-02-13T21:05:00Z</dcterms:created>
  <dcterms:modified xsi:type="dcterms:W3CDTF">2022-02-13T21:06:00Z</dcterms:modified>
</cp:coreProperties>
</file>