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39702" w14:textId="3AE7EAA2" w:rsidR="00C66B87" w:rsidRPr="00C66B87" w:rsidRDefault="00C66B87" w:rsidP="00C66B87">
      <w:pPr>
        <w:spacing w:before="100" w:beforeAutospacing="1" w:after="100" w:afterAutospacing="1"/>
        <w:rPr>
          <w:rFonts w:ascii="Times New Roman" w:eastAsia="Times New Roman" w:hAnsi="Times New Roman" w:cs="Times New Roman"/>
          <w:lang w:eastAsia="en-GB"/>
        </w:rPr>
      </w:pPr>
      <w:r w:rsidRPr="00C66B87">
        <w:rPr>
          <w:rFonts w:ascii="Arial" w:eastAsia="Times New Roman" w:hAnsi="Arial" w:cs="Arial"/>
          <w:b/>
          <w:bCs/>
          <w:color w:val="FF0000"/>
          <w:lang w:eastAsia="en-GB"/>
        </w:rPr>
        <w:t>69.</w:t>
      </w:r>
      <w:r>
        <w:rPr>
          <w:rFonts w:ascii="Arial" w:eastAsia="Times New Roman" w:hAnsi="Arial" w:cs="Arial"/>
          <w:b/>
          <w:bCs/>
          <w:color w:val="FF0000"/>
          <w:lang w:eastAsia="en-GB"/>
        </w:rPr>
        <w:t xml:space="preserve"> </w:t>
      </w:r>
      <w:r w:rsidRPr="00C66B87">
        <w:rPr>
          <w:rFonts w:ascii="Arial" w:eastAsia="Times New Roman" w:hAnsi="Arial" w:cs="Arial"/>
          <w:b/>
          <w:bCs/>
          <w:color w:val="FF0000"/>
          <w:lang w:eastAsia="en-GB"/>
        </w:rPr>
        <w:t xml:space="preserve">Preoperative Imaging in Patients with Deep Infiltrating Endometriosis: An Important Aid in Predicting Depth of Infiltration in Rectosigmoid Disease </w:t>
      </w:r>
    </w:p>
    <w:p w14:paraId="71252800" w14:textId="77777777" w:rsidR="00C66B87" w:rsidRPr="00C66B87" w:rsidRDefault="00C66B87" w:rsidP="00C66B87">
      <w:pPr>
        <w:spacing w:before="100" w:beforeAutospacing="1" w:after="100" w:afterAutospacing="1"/>
        <w:rPr>
          <w:rFonts w:ascii="Times New Roman" w:eastAsia="Times New Roman" w:hAnsi="Times New Roman" w:cs="Times New Roman"/>
          <w:lang w:eastAsia="en-GB"/>
        </w:rPr>
      </w:pPr>
      <w:r w:rsidRPr="00C66B87">
        <w:rPr>
          <w:rFonts w:ascii="Arial" w:eastAsia="Times New Roman" w:hAnsi="Arial" w:cs="Arial"/>
          <w:b/>
          <w:bCs/>
          <w:color w:val="FF0000"/>
          <w:lang w:eastAsia="en-GB"/>
        </w:rPr>
        <w:t xml:space="preserve">Samantha </w:t>
      </w:r>
      <w:proofErr w:type="spellStart"/>
      <w:r w:rsidRPr="00C66B87">
        <w:rPr>
          <w:rFonts w:ascii="Arial" w:eastAsia="Times New Roman" w:hAnsi="Arial" w:cs="Arial"/>
          <w:b/>
          <w:bCs/>
          <w:color w:val="FF0000"/>
          <w:lang w:eastAsia="en-GB"/>
        </w:rPr>
        <w:t>Sloss</w:t>
      </w:r>
      <w:proofErr w:type="spellEnd"/>
      <w:r w:rsidRPr="00C66B87">
        <w:rPr>
          <w:rFonts w:ascii="Arial" w:eastAsia="Times New Roman" w:hAnsi="Arial" w:cs="Arial"/>
          <w:b/>
          <w:bCs/>
          <w:color w:val="FF0000"/>
          <w:lang w:eastAsia="en-GB"/>
        </w:rPr>
        <w:t xml:space="preserve"> </w:t>
      </w:r>
      <w:r w:rsidRPr="00C66B87">
        <w:rPr>
          <w:rFonts w:ascii="Arial" w:eastAsia="Times New Roman" w:hAnsi="Arial" w:cs="Arial"/>
          <w:b/>
          <w:bCs/>
          <w:color w:val="FF0000"/>
          <w:position w:val="8"/>
          <w:sz w:val="16"/>
          <w:szCs w:val="16"/>
          <w:lang w:eastAsia="en-GB"/>
        </w:rPr>
        <w:t>1</w:t>
      </w:r>
      <w:r w:rsidRPr="00C66B87">
        <w:rPr>
          <w:rFonts w:ascii="Arial" w:eastAsia="Times New Roman" w:hAnsi="Arial" w:cs="Arial"/>
          <w:b/>
          <w:bCs/>
          <w:color w:val="FF0000"/>
          <w:lang w:eastAsia="en-GB"/>
        </w:rPr>
        <w:t xml:space="preserve">, Samantha Mooney </w:t>
      </w:r>
      <w:r w:rsidRPr="00C66B87">
        <w:rPr>
          <w:rFonts w:ascii="Arial" w:eastAsia="Times New Roman" w:hAnsi="Arial" w:cs="Arial"/>
          <w:b/>
          <w:bCs/>
          <w:color w:val="FF0000"/>
          <w:position w:val="8"/>
          <w:sz w:val="16"/>
          <w:szCs w:val="16"/>
          <w:lang w:eastAsia="en-GB"/>
        </w:rPr>
        <w:t>2</w:t>
      </w:r>
      <w:r w:rsidRPr="00C66B87">
        <w:rPr>
          <w:rFonts w:ascii="Arial" w:eastAsia="Times New Roman" w:hAnsi="Arial" w:cs="Arial"/>
          <w:b/>
          <w:bCs/>
          <w:color w:val="FF0000"/>
          <w:lang w:eastAsia="en-GB"/>
        </w:rPr>
        <w:t xml:space="preserve">, Lenore </w:t>
      </w:r>
      <w:proofErr w:type="spellStart"/>
      <w:r w:rsidRPr="00C66B87">
        <w:rPr>
          <w:rFonts w:ascii="Arial" w:eastAsia="Times New Roman" w:hAnsi="Arial" w:cs="Arial"/>
          <w:b/>
          <w:bCs/>
          <w:color w:val="FF0000"/>
          <w:lang w:eastAsia="en-GB"/>
        </w:rPr>
        <w:t>Ellett</w:t>
      </w:r>
      <w:proofErr w:type="spellEnd"/>
      <w:r w:rsidRPr="00C66B87">
        <w:rPr>
          <w:rFonts w:ascii="Arial" w:eastAsia="Times New Roman" w:hAnsi="Arial" w:cs="Arial"/>
          <w:b/>
          <w:bCs/>
          <w:color w:val="FF0000"/>
          <w:lang w:eastAsia="en-GB"/>
        </w:rPr>
        <w:t xml:space="preserve"> </w:t>
      </w:r>
      <w:r w:rsidRPr="00C66B87">
        <w:rPr>
          <w:rFonts w:ascii="Arial" w:eastAsia="Times New Roman" w:hAnsi="Arial" w:cs="Arial"/>
          <w:b/>
          <w:bCs/>
          <w:color w:val="FF0000"/>
          <w:position w:val="8"/>
          <w:sz w:val="16"/>
          <w:szCs w:val="16"/>
          <w:lang w:eastAsia="en-GB"/>
        </w:rPr>
        <w:t>2</w:t>
      </w:r>
      <w:r w:rsidRPr="00C66B87">
        <w:rPr>
          <w:rFonts w:ascii="Arial" w:eastAsia="Times New Roman" w:hAnsi="Arial" w:cs="Arial"/>
          <w:b/>
          <w:bCs/>
          <w:color w:val="FF0000"/>
          <w:lang w:eastAsia="en-GB"/>
        </w:rPr>
        <w:t xml:space="preserve">, Emma </w:t>
      </w:r>
      <w:proofErr w:type="spellStart"/>
      <w:r w:rsidRPr="00C66B87">
        <w:rPr>
          <w:rFonts w:ascii="Arial" w:eastAsia="Times New Roman" w:hAnsi="Arial" w:cs="Arial"/>
          <w:b/>
          <w:bCs/>
          <w:color w:val="FF0000"/>
          <w:lang w:eastAsia="en-GB"/>
        </w:rPr>
        <w:t>Readman</w:t>
      </w:r>
      <w:proofErr w:type="spellEnd"/>
      <w:r w:rsidRPr="00C66B87">
        <w:rPr>
          <w:rFonts w:ascii="Arial" w:eastAsia="Times New Roman" w:hAnsi="Arial" w:cs="Arial"/>
          <w:b/>
          <w:bCs/>
          <w:color w:val="FF0000"/>
          <w:lang w:eastAsia="en-GB"/>
        </w:rPr>
        <w:t xml:space="preserve"> </w:t>
      </w:r>
      <w:r w:rsidRPr="00C66B87">
        <w:rPr>
          <w:rFonts w:ascii="Arial" w:eastAsia="Times New Roman" w:hAnsi="Arial" w:cs="Arial"/>
          <w:b/>
          <w:bCs/>
          <w:color w:val="FF0000"/>
          <w:position w:val="8"/>
          <w:sz w:val="16"/>
          <w:szCs w:val="16"/>
          <w:lang w:eastAsia="en-GB"/>
        </w:rPr>
        <w:t>2</w:t>
      </w:r>
      <w:r w:rsidRPr="00C66B87">
        <w:rPr>
          <w:rFonts w:ascii="Arial" w:eastAsia="Times New Roman" w:hAnsi="Arial" w:cs="Arial"/>
          <w:b/>
          <w:bCs/>
          <w:color w:val="FF0000"/>
          <w:lang w:eastAsia="en-GB"/>
        </w:rPr>
        <w:t xml:space="preserve">, Tony Ma </w:t>
      </w:r>
      <w:r w:rsidRPr="00C66B87">
        <w:rPr>
          <w:rFonts w:ascii="Arial" w:eastAsia="Times New Roman" w:hAnsi="Arial" w:cs="Arial"/>
          <w:b/>
          <w:bCs/>
          <w:color w:val="FF0000"/>
          <w:position w:val="8"/>
          <w:sz w:val="16"/>
          <w:szCs w:val="16"/>
          <w:lang w:eastAsia="en-GB"/>
        </w:rPr>
        <w:t>2</w:t>
      </w:r>
      <w:r w:rsidRPr="00C66B87">
        <w:rPr>
          <w:rFonts w:ascii="Arial" w:eastAsia="Times New Roman" w:hAnsi="Arial" w:cs="Arial"/>
          <w:b/>
          <w:bCs/>
          <w:color w:val="FF0000"/>
          <w:lang w:eastAsia="en-GB"/>
        </w:rPr>
        <w:t xml:space="preserve">, Richard Brouwer </w:t>
      </w:r>
      <w:r w:rsidRPr="00C66B87">
        <w:rPr>
          <w:rFonts w:ascii="Arial" w:eastAsia="Times New Roman" w:hAnsi="Arial" w:cs="Arial"/>
          <w:b/>
          <w:bCs/>
          <w:color w:val="FF0000"/>
          <w:position w:val="8"/>
          <w:sz w:val="16"/>
          <w:szCs w:val="16"/>
          <w:lang w:eastAsia="en-GB"/>
        </w:rPr>
        <w:t>3</w:t>
      </w:r>
      <w:r w:rsidRPr="00C66B87">
        <w:rPr>
          <w:rFonts w:ascii="Arial" w:eastAsia="Times New Roman" w:hAnsi="Arial" w:cs="Arial"/>
          <w:b/>
          <w:bCs/>
          <w:color w:val="FF0000"/>
          <w:lang w:eastAsia="en-GB"/>
        </w:rPr>
        <w:t xml:space="preserve">, Natalie Yang </w:t>
      </w:r>
      <w:r w:rsidRPr="00C66B87">
        <w:rPr>
          <w:rFonts w:ascii="Arial" w:eastAsia="Times New Roman" w:hAnsi="Arial" w:cs="Arial"/>
          <w:b/>
          <w:bCs/>
          <w:color w:val="FF0000"/>
          <w:position w:val="8"/>
          <w:sz w:val="16"/>
          <w:szCs w:val="16"/>
          <w:lang w:eastAsia="en-GB"/>
        </w:rPr>
        <w:t>4</w:t>
      </w:r>
      <w:r w:rsidRPr="00C66B87">
        <w:rPr>
          <w:rFonts w:ascii="Arial" w:eastAsia="Times New Roman" w:hAnsi="Arial" w:cs="Arial"/>
          <w:b/>
          <w:bCs/>
          <w:color w:val="FF0000"/>
          <w:lang w:eastAsia="en-GB"/>
        </w:rPr>
        <w:t xml:space="preserve">, Kerryn Ireland-Jenkin </w:t>
      </w:r>
      <w:r w:rsidRPr="00C66B87">
        <w:rPr>
          <w:rFonts w:ascii="Arial" w:eastAsia="Times New Roman" w:hAnsi="Arial" w:cs="Arial"/>
          <w:b/>
          <w:bCs/>
          <w:color w:val="FF0000"/>
          <w:position w:val="8"/>
          <w:sz w:val="16"/>
          <w:szCs w:val="16"/>
          <w:lang w:eastAsia="en-GB"/>
        </w:rPr>
        <w:t>5</w:t>
      </w:r>
      <w:r w:rsidRPr="00C66B87">
        <w:rPr>
          <w:rFonts w:ascii="Arial" w:eastAsia="Times New Roman" w:hAnsi="Arial" w:cs="Arial"/>
          <w:b/>
          <w:bCs/>
          <w:color w:val="FF0000"/>
          <w:lang w:eastAsia="en-GB"/>
        </w:rPr>
        <w:t>, Kate</w:t>
      </w:r>
      <w:r w:rsidRPr="00C66B87">
        <w:rPr>
          <w:rFonts w:ascii="Arial" w:eastAsia="Times New Roman" w:hAnsi="Arial" w:cs="Arial"/>
          <w:b/>
          <w:bCs/>
          <w:color w:val="FF0000"/>
          <w:lang w:eastAsia="en-GB"/>
        </w:rPr>
        <w:br/>
        <w:t xml:space="preserve">Stone </w:t>
      </w:r>
      <w:r w:rsidRPr="00C66B87">
        <w:rPr>
          <w:rFonts w:ascii="Arial" w:eastAsia="Times New Roman" w:hAnsi="Arial" w:cs="Arial"/>
          <w:b/>
          <w:bCs/>
          <w:color w:val="FF0000"/>
          <w:position w:val="8"/>
          <w:sz w:val="16"/>
          <w:szCs w:val="16"/>
          <w:lang w:eastAsia="en-GB"/>
        </w:rPr>
        <w:t>6</w:t>
      </w:r>
      <w:r w:rsidRPr="00C66B87">
        <w:rPr>
          <w:rFonts w:ascii="Arial" w:eastAsia="Times New Roman" w:hAnsi="Arial" w:cs="Arial"/>
          <w:b/>
          <w:bCs/>
          <w:color w:val="FF0000"/>
          <w:lang w:eastAsia="en-GB"/>
        </w:rPr>
        <w:t xml:space="preserve">, Peter Maher </w:t>
      </w:r>
      <w:r w:rsidRPr="00C66B87">
        <w:rPr>
          <w:rFonts w:ascii="Arial" w:eastAsia="Times New Roman" w:hAnsi="Arial" w:cs="Arial"/>
          <w:b/>
          <w:bCs/>
          <w:color w:val="FF0000"/>
          <w:position w:val="8"/>
          <w:sz w:val="16"/>
          <w:szCs w:val="16"/>
          <w:lang w:eastAsia="en-GB"/>
        </w:rPr>
        <w:t>2</w:t>
      </w:r>
      <w:r w:rsidRPr="00C66B87">
        <w:rPr>
          <w:rFonts w:ascii="Arial" w:eastAsia="Times New Roman" w:hAnsi="Arial" w:cs="Arial"/>
          <w:b/>
          <w:bCs/>
          <w:color w:val="FF0000"/>
          <w:position w:val="8"/>
          <w:sz w:val="16"/>
          <w:szCs w:val="16"/>
          <w:lang w:eastAsia="en-GB"/>
        </w:rPr>
        <w:br/>
      </w:r>
      <w:r w:rsidRPr="00C66B87">
        <w:rPr>
          <w:rFonts w:ascii="Arial" w:eastAsia="Times New Roman" w:hAnsi="Arial" w:cs="Arial"/>
          <w:b/>
          <w:bCs/>
          <w:color w:val="FF0000"/>
          <w:lang w:eastAsia="en-GB"/>
        </w:rPr>
        <w:t xml:space="preserve">J Minim Invasive Gynecol. 2022 Jan </w:t>
      </w:r>
      <w:proofErr w:type="gramStart"/>
      <w:r w:rsidRPr="00C66B87">
        <w:rPr>
          <w:rFonts w:ascii="Arial" w:eastAsia="Times New Roman" w:hAnsi="Arial" w:cs="Arial"/>
          <w:b/>
          <w:bCs/>
          <w:color w:val="FF0000"/>
          <w:lang w:eastAsia="en-GB"/>
        </w:rPr>
        <w:t>3;S</w:t>
      </w:r>
      <w:proofErr w:type="gramEnd"/>
      <w:r w:rsidRPr="00C66B87">
        <w:rPr>
          <w:rFonts w:ascii="Arial" w:eastAsia="Times New Roman" w:hAnsi="Arial" w:cs="Arial"/>
          <w:b/>
          <w:bCs/>
          <w:color w:val="FF0000"/>
          <w:lang w:eastAsia="en-GB"/>
        </w:rPr>
        <w:t xml:space="preserve">1553-4650(21)01338-8. </w:t>
      </w:r>
      <w:proofErr w:type="spellStart"/>
      <w:r w:rsidRPr="00C66B87">
        <w:rPr>
          <w:rFonts w:ascii="Arial" w:eastAsia="Times New Roman" w:hAnsi="Arial" w:cs="Arial"/>
          <w:b/>
          <w:bCs/>
          <w:color w:val="FF0000"/>
          <w:lang w:eastAsia="en-GB"/>
        </w:rPr>
        <w:t>doi</w:t>
      </w:r>
      <w:proofErr w:type="spellEnd"/>
      <w:r w:rsidRPr="00C66B87">
        <w:rPr>
          <w:rFonts w:ascii="Arial" w:eastAsia="Times New Roman" w:hAnsi="Arial" w:cs="Arial"/>
          <w:b/>
          <w:bCs/>
          <w:color w:val="FF0000"/>
          <w:lang w:eastAsia="en-GB"/>
        </w:rPr>
        <w:t xml:space="preserve">: 10.1016/j.jmig.2021.12.015.Online ahead of print. </w:t>
      </w:r>
    </w:p>
    <w:p w14:paraId="397C8701" w14:textId="77777777" w:rsidR="00C66B87" w:rsidRPr="00C66B87" w:rsidRDefault="00C66B87" w:rsidP="00C66B87">
      <w:pPr>
        <w:spacing w:before="100" w:beforeAutospacing="1" w:after="100" w:afterAutospacing="1"/>
        <w:rPr>
          <w:rFonts w:ascii="Times New Roman" w:eastAsia="Times New Roman" w:hAnsi="Times New Roman" w:cs="Times New Roman"/>
          <w:lang w:eastAsia="en-GB"/>
        </w:rPr>
      </w:pPr>
      <w:r w:rsidRPr="00C66B87">
        <w:rPr>
          <w:rFonts w:ascii="ArialMT" w:eastAsia="Times New Roman" w:hAnsi="ArialMT" w:cs="Times New Roman"/>
          <w:lang w:eastAsia="en-GB"/>
        </w:rPr>
        <w:t xml:space="preserve">Abstract </w:t>
      </w:r>
    </w:p>
    <w:p w14:paraId="151FAA13" w14:textId="77777777" w:rsidR="00C66B87" w:rsidRDefault="00C66B87" w:rsidP="00C66B87">
      <w:pPr>
        <w:spacing w:before="100" w:beforeAutospacing="1" w:after="100" w:afterAutospacing="1"/>
        <w:rPr>
          <w:rFonts w:ascii="ArialMT" w:eastAsia="Times New Roman" w:hAnsi="ArialMT" w:cs="Times New Roman"/>
          <w:lang w:eastAsia="en-GB"/>
        </w:rPr>
      </w:pPr>
      <w:r w:rsidRPr="00C66B87">
        <w:rPr>
          <w:rFonts w:ascii="ArialMT" w:eastAsia="Times New Roman" w:hAnsi="ArialMT" w:cs="Times New Roman"/>
          <w:lang w:eastAsia="en-GB"/>
        </w:rPr>
        <w:t>Study objective: To determine the diagnostic accuracy of specialist-performed transvaginal ultrasound (TVUS) and pelvic magnetic resonance imaging (MRI) modalities in predicting depth of deep infiltrating endometriosis (DIE) of the rectosigmoid by comparison with histologic specimens obtained at surgery.</w:t>
      </w:r>
    </w:p>
    <w:p w14:paraId="2C61EB6A" w14:textId="4C4CD72E" w:rsidR="00C66B87" w:rsidRPr="00C66B87" w:rsidRDefault="00C66B87" w:rsidP="00C66B87">
      <w:pPr>
        <w:spacing w:before="100" w:beforeAutospacing="1" w:after="100" w:afterAutospacing="1"/>
        <w:rPr>
          <w:rFonts w:ascii="Times New Roman" w:eastAsia="Times New Roman" w:hAnsi="Times New Roman" w:cs="Times New Roman"/>
          <w:lang w:eastAsia="en-GB"/>
        </w:rPr>
      </w:pPr>
      <w:r w:rsidRPr="00C66B87">
        <w:rPr>
          <w:rFonts w:ascii="ArialMT" w:eastAsia="Times New Roman" w:hAnsi="ArialMT" w:cs="Times New Roman"/>
          <w:lang w:eastAsia="en-GB"/>
        </w:rPr>
        <w:t xml:space="preserve">Design: A retrospective analysis, which met the Standards for Reporting of Diagnostic Accuracy Studies (2015) guidelines for a diagnostic accuracy study. </w:t>
      </w:r>
    </w:p>
    <w:p w14:paraId="1514B13A" w14:textId="55DFAFBF" w:rsidR="00C66B87" w:rsidRPr="00C66B87" w:rsidRDefault="00C66B87" w:rsidP="00C66B87">
      <w:pPr>
        <w:spacing w:before="100" w:beforeAutospacing="1" w:after="100" w:afterAutospacing="1"/>
        <w:rPr>
          <w:rFonts w:ascii="ArialMT" w:eastAsia="Times New Roman" w:hAnsi="ArialMT" w:cs="Times New Roman"/>
          <w:lang w:eastAsia="en-GB"/>
        </w:rPr>
      </w:pPr>
      <w:r w:rsidRPr="00C66B87">
        <w:rPr>
          <w:rFonts w:ascii="ArialMT" w:eastAsia="Times New Roman" w:hAnsi="ArialMT" w:cs="Times New Roman"/>
          <w:lang w:eastAsia="en-GB"/>
        </w:rPr>
        <w:t xml:space="preserve">Setting: Tertiary teaching hospital. </w:t>
      </w:r>
    </w:p>
    <w:p w14:paraId="2DCDB9CB" w14:textId="77777777" w:rsidR="00C66B87" w:rsidRPr="00C66B87" w:rsidRDefault="00C66B87" w:rsidP="00C66B87">
      <w:pPr>
        <w:spacing w:before="100" w:beforeAutospacing="1" w:after="100" w:afterAutospacing="1"/>
        <w:rPr>
          <w:rFonts w:ascii="Times New Roman" w:eastAsia="Times New Roman" w:hAnsi="Times New Roman" w:cs="Times New Roman"/>
          <w:lang w:eastAsia="en-GB"/>
        </w:rPr>
      </w:pPr>
      <w:r w:rsidRPr="00C66B87">
        <w:rPr>
          <w:rFonts w:ascii="ArialMT" w:eastAsia="Times New Roman" w:hAnsi="ArialMT" w:cs="Times New Roman"/>
          <w:lang w:eastAsia="en-GB"/>
        </w:rPr>
        <w:t xml:space="preserve">Patients: A total of 194 cases who underwent preoperative discussion at the </w:t>
      </w:r>
      <w:proofErr w:type="spellStart"/>
      <w:r w:rsidRPr="00C66B87">
        <w:rPr>
          <w:rFonts w:ascii="ArialMT" w:eastAsia="Times New Roman" w:hAnsi="ArialMT" w:cs="Times New Roman"/>
          <w:lang w:eastAsia="en-GB"/>
        </w:rPr>
        <w:t>gynecologic</w:t>
      </w:r>
      <w:proofErr w:type="spellEnd"/>
      <w:r w:rsidRPr="00C66B87">
        <w:rPr>
          <w:rFonts w:ascii="ArialMT" w:eastAsia="Times New Roman" w:hAnsi="ArialMT" w:cs="Times New Roman"/>
          <w:lang w:eastAsia="en-GB"/>
        </w:rPr>
        <w:t xml:space="preserve"> </w:t>
      </w:r>
      <w:proofErr w:type="spellStart"/>
      <w:r w:rsidRPr="00C66B87">
        <w:rPr>
          <w:rFonts w:ascii="ArialMT" w:eastAsia="Times New Roman" w:hAnsi="ArialMT" w:cs="Times New Roman"/>
          <w:lang w:eastAsia="en-GB"/>
        </w:rPr>
        <w:t>endosurgery</w:t>
      </w:r>
      <w:proofErr w:type="spellEnd"/>
      <w:r w:rsidRPr="00C66B87">
        <w:rPr>
          <w:rFonts w:ascii="ArialMT" w:eastAsia="Times New Roman" w:hAnsi="ArialMT" w:cs="Times New Roman"/>
          <w:lang w:eastAsia="en-GB"/>
        </w:rPr>
        <w:t xml:space="preserve"> unit multidisciplinary meeting between January 2012 and December 2019 were eligible for inclusion. </w:t>
      </w:r>
    </w:p>
    <w:p w14:paraId="485D762A" w14:textId="77777777" w:rsidR="00C66B87" w:rsidRPr="00C66B87" w:rsidRDefault="00C66B87" w:rsidP="00C66B87">
      <w:pPr>
        <w:spacing w:before="100" w:beforeAutospacing="1" w:after="100" w:afterAutospacing="1"/>
        <w:rPr>
          <w:rFonts w:ascii="Times New Roman" w:eastAsia="Times New Roman" w:hAnsi="Times New Roman" w:cs="Times New Roman"/>
          <w:lang w:eastAsia="en-GB"/>
        </w:rPr>
      </w:pPr>
      <w:r w:rsidRPr="00C66B87">
        <w:rPr>
          <w:rFonts w:ascii="ArialMT" w:eastAsia="Times New Roman" w:hAnsi="ArialMT" w:cs="Times New Roman"/>
          <w:lang w:eastAsia="en-GB"/>
        </w:rPr>
        <w:t xml:space="preserve">Interventions: Retrospective assessment of the accuracy of TVUS and MRI in predicting histologic depth of rectosigmoid DIE after operative management. </w:t>
      </w:r>
    </w:p>
    <w:p w14:paraId="448B05CB" w14:textId="77777777" w:rsidR="00C66B87" w:rsidRPr="00C66B87" w:rsidRDefault="00C66B87" w:rsidP="00C66B87">
      <w:pPr>
        <w:spacing w:before="100" w:beforeAutospacing="1" w:after="100" w:afterAutospacing="1"/>
        <w:rPr>
          <w:rFonts w:ascii="Times New Roman" w:eastAsia="Times New Roman" w:hAnsi="Times New Roman" w:cs="Times New Roman"/>
          <w:lang w:eastAsia="en-GB"/>
        </w:rPr>
      </w:pPr>
      <w:r w:rsidRPr="00C66B87">
        <w:rPr>
          <w:rFonts w:ascii="ArialMT" w:eastAsia="Times New Roman" w:hAnsi="ArialMT" w:cs="Times New Roman"/>
          <w:lang w:eastAsia="en-GB"/>
        </w:rPr>
        <w:t xml:space="preserve">Measurements and main results: Al total of 135 surgeries were performed for DIE; 20 underwent a rectal shave, 14 had a disc/wedge resection, 38 an anterior/segmental resection, and 63 had no rectosigmoid surgery. Of the 52 patients with full-thickness rectal wall excision, all patients had at least one imaging modality available for review; 42 (81%) had both. At least one imaging modality </w:t>
      </w:r>
      <w:proofErr w:type="gramStart"/>
      <w:r w:rsidRPr="00C66B87">
        <w:rPr>
          <w:rFonts w:ascii="ArialMT" w:eastAsia="Times New Roman" w:hAnsi="ArialMT" w:cs="Times New Roman"/>
          <w:lang w:eastAsia="en-GB"/>
        </w:rPr>
        <w:t>was in agreement</w:t>
      </w:r>
      <w:proofErr w:type="gramEnd"/>
      <w:r w:rsidRPr="00C66B87">
        <w:rPr>
          <w:rFonts w:ascii="ArialMT" w:eastAsia="Times New Roman" w:hAnsi="ArialMT" w:cs="Times New Roman"/>
          <w:lang w:eastAsia="en-GB"/>
        </w:rPr>
        <w:t xml:space="preserve"> with histologic depth in 48 cases (92%) (sensitivity, 94%; specificity, 50%; positive predictive value [PPV], 97.9%; negative predictive value [NPV], 25.0%; area under the receiver operating curve, 0.720; 95% confidence interval, 0.229-1.000). When TVUS was assessed in isolation, the test remained sensitive for any rectal wall involvement (sensitivity, 93.6%; specificity, 50.0%; PPV, 97.8%; NPV, 25.0%; area under the receiver operating curve, 0.718; 95% confidence interval, 0.227- 1.000). When only MRI was assessed, the test demonstrated both high sensitivity and specificity for rectal wall disease (sensitivity, 86.4%; specificity, 100%; PPV, 100%; NPV, 14.2). </w:t>
      </w:r>
    </w:p>
    <w:p w14:paraId="246A231A" w14:textId="77777777" w:rsidR="00C66B87" w:rsidRPr="00C66B87" w:rsidRDefault="00C66B87" w:rsidP="00C66B87">
      <w:pPr>
        <w:spacing w:before="100" w:beforeAutospacing="1" w:after="100" w:afterAutospacing="1"/>
        <w:rPr>
          <w:rFonts w:ascii="Times New Roman" w:eastAsia="Times New Roman" w:hAnsi="Times New Roman" w:cs="Times New Roman"/>
          <w:lang w:eastAsia="en-GB"/>
        </w:rPr>
      </w:pPr>
      <w:r w:rsidRPr="00C66B87">
        <w:rPr>
          <w:rFonts w:ascii="ArialMT" w:eastAsia="Times New Roman" w:hAnsi="ArialMT" w:cs="Times New Roman"/>
          <w:lang w:eastAsia="en-GB"/>
        </w:rPr>
        <w:t xml:space="preserve">Conclusion: Specialist-performed TVUS and MRI are accurate in predicting depth of disease in rectosigmoid endometriosis. These modalities were similar in their diagnostic performance at assessing depth of rectal wall involvement, and their use is justified in the preoperative planning of these </w:t>
      </w:r>
      <w:proofErr w:type="spellStart"/>
      <w:r w:rsidRPr="00C66B87">
        <w:rPr>
          <w:rFonts w:ascii="ArialMT" w:eastAsia="Times New Roman" w:hAnsi="ArialMT" w:cs="Times New Roman"/>
          <w:lang w:eastAsia="en-GB"/>
        </w:rPr>
        <w:t>gynecologic</w:t>
      </w:r>
      <w:proofErr w:type="spellEnd"/>
      <w:r w:rsidRPr="00C66B87">
        <w:rPr>
          <w:rFonts w:ascii="ArialMT" w:eastAsia="Times New Roman" w:hAnsi="ArialMT" w:cs="Times New Roman"/>
          <w:lang w:eastAsia="en-GB"/>
        </w:rPr>
        <w:t xml:space="preserve"> surgeries. </w:t>
      </w:r>
    </w:p>
    <w:p w14:paraId="16D15492" w14:textId="77777777" w:rsidR="00C66B87" w:rsidRPr="00C66B87" w:rsidRDefault="00C66B87" w:rsidP="00C66B87">
      <w:pPr>
        <w:spacing w:before="100" w:beforeAutospacing="1" w:after="100" w:afterAutospacing="1"/>
        <w:rPr>
          <w:rFonts w:ascii="Times New Roman" w:eastAsia="Times New Roman" w:hAnsi="Times New Roman" w:cs="Times New Roman"/>
          <w:lang w:eastAsia="en-GB"/>
        </w:rPr>
      </w:pPr>
      <w:r w:rsidRPr="00C66B87">
        <w:rPr>
          <w:rFonts w:ascii="ArialMT" w:eastAsia="Times New Roman" w:hAnsi="ArialMT" w:cs="Times New Roman"/>
          <w:lang w:eastAsia="en-GB"/>
        </w:rPr>
        <w:t xml:space="preserve">Keywords: Deep infiltrating endometriosis; Diagnostic accuracy; Magnetic resonance imaging; Surgical approach; Transvaginal ultrasound. </w:t>
      </w:r>
    </w:p>
    <w:p w14:paraId="71DAAAF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B87"/>
    <w:rsid w:val="00432D50"/>
    <w:rsid w:val="00A74000"/>
    <w:rsid w:val="00C66B87"/>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3867535"/>
  <w15:chartTrackingRefBased/>
  <w15:docId w15:val="{67424EB1-3CC3-5D4F-BFF6-ED80AFCB0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66B8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7255508">
      <w:bodyDiv w:val="1"/>
      <w:marLeft w:val="0"/>
      <w:marRight w:val="0"/>
      <w:marTop w:val="0"/>
      <w:marBottom w:val="0"/>
      <w:divBdr>
        <w:top w:val="none" w:sz="0" w:space="0" w:color="auto"/>
        <w:left w:val="none" w:sz="0" w:space="0" w:color="auto"/>
        <w:bottom w:val="none" w:sz="0" w:space="0" w:color="auto"/>
        <w:right w:val="none" w:sz="0" w:space="0" w:color="auto"/>
      </w:divBdr>
      <w:divsChild>
        <w:div w:id="846748196">
          <w:marLeft w:val="0"/>
          <w:marRight w:val="0"/>
          <w:marTop w:val="0"/>
          <w:marBottom w:val="0"/>
          <w:divBdr>
            <w:top w:val="none" w:sz="0" w:space="0" w:color="auto"/>
            <w:left w:val="none" w:sz="0" w:space="0" w:color="auto"/>
            <w:bottom w:val="none" w:sz="0" w:space="0" w:color="auto"/>
            <w:right w:val="none" w:sz="0" w:space="0" w:color="auto"/>
          </w:divBdr>
          <w:divsChild>
            <w:div w:id="710887730">
              <w:marLeft w:val="0"/>
              <w:marRight w:val="0"/>
              <w:marTop w:val="0"/>
              <w:marBottom w:val="0"/>
              <w:divBdr>
                <w:top w:val="none" w:sz="0" w:space="0" w:color="auto"/>
                <w:left w:val="none" w:sz="0" w:space="0" w:color="auto"/>
                <w:bottom w:val="none" w:sz="0" w:space="0" w:color="auto"/>
                <w:right w:val="none" w:sz="0" w:space="0" w:color="auto"/>
              </w:divBdr>
              <w:divsChild>
                <w:div w:id="1741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28163">
          <w:marLeft w:val="0"/>
          <w:marRight w:val="0"/>
          <w:marTop w:val="0"/>
          <w:marBottom w:val="0"/>
          <w:divBdr>
            <w:top w:val="none" w:sz="0" w:space="0" w:color="auto"/>
            <w:left w:val="none" w:sz="0" w:space="0" w:color="auto"/>
            <w:bottom w:val="none" w:sz="0" w:space="0" w:color="auto"/>
            <w:right w:val="none" w:sz="0" w:space="0" w:color="auto"/>
          </w:divBdr>
          <w:divsChild>
            <w:div w:id="1155995305">
              <w:marLeft w:val="0"/>
              <w:marRight w:val="0"/>
              <w:marTop w:val="0"/>
              <w:marBottom w:val="0"/>
              <w:divBdr>
                <w:top w:val="none" w:sz="0" w:space="0" w:color="auto"/>
                <w:left w:val="none" w:sz="0" w:space="0" w:color="auto"/>
                <w:bottom w:val="none" w:sz="0" w:space="0" w:color="auto"/>
                <w:right w:val="none" w:sz="0" w:space="0" w:color="auto"/>
              </w:divBdr>
              <w:divsChild>
                <w:div w:id="119819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423</Words>
  <Characters>2412</Characters>
  <Application>Microsoft Office Word</Application>
  <DocSecurity>0</DocSecurity>
  <Lines>20</Lines>
  <Paragraphs>5</Paragraphs>
  <ScaleCrop>false</ScaleCrop>
  <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2022-02-13T21:22:00Z</dcterms:created>
  <dcterms:modified xsi:type="dcterms:W3CDTF">2022-02-13T21:23:00Z</dcterms:modified>
</cp:coreProperties>
</file>