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0B0FB7" w14:textId="569B2EF6" w:rsidR="00D81787" w:rsidRDefault="00D81787" w:rsidP="00D81787">
      <w:pPr>
        <w:pStyle w:val="NormalWeb"/>
      </w:pPr>
      <w:r>
        <w:rPr>
          <w:rFonts w:ascii="Arial" w:hAnsi="Arial" w:cs="Arial"/>
          <w:b/>
          <w:bCs/>
          <w:color w:val="FF0000"/>
        </w:rPr>
        <w:t>71.</w:t>
      </w:r>
      <w:r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</w:rPr>
        <w:t xml:space="preserve">Efficacy of intrauterine insemination in women with endometrioma- associated subfertility: analysis using propensity score matching </w:t>
      </w:r>
    </w:p>
    <w:p w14:paraId="7766BB57" w14:textId="77777777" w:rsidR="00D81787" w:rsidRDefault="00D81787" w:rsidP="00D81787">
      <w:pPr>
        <w:pStyle w:val="NormalWeb"/>
      </w:pPr>
      <w:r>
        <w:rPr>
          <w:rFonts w:ascii="Arial" w:hAnsi="Arial" w:cs="Arial"/>
          <w:b/>
          <w:bCs/>
          <w:color w:val="FF0000"/>
        </w:rPr>
        <w:t xml:space="preserve">He Cai </w:t>
      </w:r>
      <w:r>
        <w:rPr>
          <w:rFonts w:ascii="Arial" w:hAnsi="Arial" w:cs="Arial"/>
          <w:b/>
          <w:bCs/>
          <w:color w:val="FF0000"/>
          <w:position w:val="8"/>
          <w:sz w:val="16"/>
          <w:szCs w:val="16"/>
        </w:rPr>
        <w:t>1</w:t>
      </w:r>
      <w:r>
        <w:rPr>
          <w:rFonts w:ascii="Arial" w:hAnsi="Arial" w:cs="Arial"/>
          <w:b/>
          <w:bCs/>
          <w:color w:val="FF0000"/>
        </w:rPr>
        <w:t xml:space="preserve">, </w:t>
      </w:r>
      <w:proofErr w:type="spellStart"/>
      <w:r>
        <w:rPr>
          <w:rFonts w:ascii="Arial" w:hAnsi="Arial" w:cs="Arial"/>
          <w:b/>
          <w:bCs/>
          <w:color w:val="FF0000"/>
        </w:rPr>
        <w:t>Jinlin</w:t>
      </w:r>
      <w:proofErr w:type="spellEnd"/>
      <w:r>
        <w:rPr>
          <w:rFonts w:ascii="Arial" w:hAnsi="Arial" w:cs="Arial"/>
          <w:b/>
          <w:bCs/>
          <w:color w:val="FF0000"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</w:rPr>
        <w:t>Xie</w:t>
      </w:r>
      <w:proofErr w:type="spellEnd"/>
      <w:r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  <w:position w:val="8"/>
          <w:sz w:val="16"/>
          <w:szCs w:val="16"/>
        </w:rPr>
        <w:t>1</w:t>
      </w:r>
      <w:r>
        <w:rPr>
          <w:rFonts w:ascii="Arial" w:hAnsi="Arial" w:cs="Arial"/>
          <w:b/>
          <w:bCs/>
          <w:color w:val="FF0000"/>
        </w:rPr>
        <w:t xml:space="preserve">, </w:t>
      </w:r>
      <w:proofErr w:type="spellStart"/>
      <w:r>
        <w:rPr>
          <w:rFonts w:ascii="Arial" w:hAnsi="Arial" w:cs="Arial"/>
          <w:b/>
          <w:bCs/>
          <w:color w:val="FF0000"/>
        </w:rPr>
        <w:t>Juanzi</w:t>
      </w:r>
      <w:proofErr w:type="spellEnd"/>
      <w:r>
        <w:rPr>
          <w:rFonts w:ascii="Arial" w:hAnsi="Arial" w:cs="Arial"/>
          <w:b/>
          <w:bCs/>
          <w:color w:val="FF0000"/>
        </w:rPr>
        <w:t xml:space="preserve"> Shi </w:t>
      </w:r>
      <w:r>
        <w:rPr>
          <w:rFonts w:ascii="Arial" w:hAnsi="Arial" w:cs="Arial"/>
          <w:b/>
          <w:bCs/>
          <w:color w:val="FF0000"/>
          <w:position w:val="8"/>
          <w:sz w:val="16"/>
          <w:szCs w:val="16"/>
        </w:rPr>
        <w:t>1</w:t>
      </w:r>
      <w:r>
        <w:rPr>
          <w:rFonts w:ascii="Arial" w:hAnsi="Arial" w:cs="Arial"/>
          <w:b/>
          <w:bCs/>
          <w:color w:val="FF0000"/>
        </w:rPr>
        <w:t xml:space="preserve">, Hui Wang </w:t>
      </w:r>
      <w:r>
        <w:rPr>
          <w:rFonts w:ascii="Arial" w:hAnsi="Arial" w:cs="Arial"/>
          <w:b/>
          <w:bCs/>
          <w:color w:val="FF0000"/>
          <w:position w:val="8"/>
          <w:sz w:val="16"/>
          <w:szCs w:val="16"/>
        </w:rPr>
        <w:t>2</w:t>
      </w:r>
      <w:r>
        <w:rPr>
          <w:rFonts w:ascii="Arial" w:hAnsi="Arial" w:cs="Arial"/>
          <w:b/>
          <w:bCs/>
          <w:color w:val="FF0000"/>
          <w:position w:val="8"/>
          <w:sz w:val="16"/>
          <w:szCs w:val="16"/>
        </w:rPr>
        <w:br/>
      </w:r>
      <w:r>
        <w:rPr>
          <w:rFonts w:ascii="Arial" w:hAnsi="Arial" w:cs="Arial"/>
          <w:b/>
          <w:bCs/>
          <w:color w:val="FF0000"/>
        </w:rPr>
        <w:t xml:space="preserve">BMC Pregnancy Childbirth. 2022 Jan 4;22(1):12. </w:t>
      </w:r>
      <w:proofErr w:type="spellStart"/>
      <w:r>
        <w:rPr>
          <w:rFonts w:ascii="Arial" w:hAnsi="Arial" w:cs="Arial"/>
          <w:b/>
          <w:bCs/>
          <w:color w:val="FF0000"/>
        </w:rPr>
        <w:t>doi</w:t>
      </w:r>
      <w:proofErr w:type="spellEnd"/>
      <w:r>
        <w:rPr>
          <w:rFonts w:ascii="Arial" w:hAnsi="Arial" w:cs="Arial"/>
          <w:b/>
          <w:bCs/>
          <w:color w:val="FF0000"/>
        </w:rPr>
        <w:t xml:space="preserve">: 10.1186/s12884-021- 04342-y. </w:t>
      </w:r>
    </w:p>
    <w:p w14:paraId="3B2DECF8" w14:textId="77777777" w:rsidR="00D81787" w:rsidRDefault="00D81787" w:rsidP="00D81787">
      <w:pPr>
        <w:pStyle w:val="NormalWeb"/>
      </w:pPr>
      <w:r>
        <w:rPr>
          <w:rFonts w:ascii="ArialMT" w:hAnsi="ArialMT"/>
        </w:rPr>
        <w:t xml:space="preserve">Abstract </w:t>
      </w:r>
    </w:p>
    <w:p w14:paraId="6BE8C361" w14:textId="77777777" w:rsidR="00D81787" w:rsidRDefault="00D81787" w:rsidP="00D81787">
      <w:pPr>
        <w:pStyle w:val="NormalWeb"/>
      </w:pPr>
      <w:r>
        <w:rPr>
          <w:rFonts w:ascii="ArialMT" w:hAnsi="ArialMT"/>
        </w:rPr>
        <w:t xml:space="preserve">Background: Intrauterine insemination (IUI) treatment is recommended in </w:t>
      </w:r>
      <w:proofErr w:type="spellStart"/>
      <w:r>
        <w:rPr>
          <w:rFonts w:ascii="ArialMT" w:hAnsi="ArialMT"/>
        </w:rPr>
        <w:t>subfertile</w:t>
      </w:r>
      <w:proofErr w:type="spellEnd"/>
      <w:r>
        <w:rPr>
          <w:rFonts w:ascii="ArialMT" w:hAnsi="ArialMT"/>
        </w:rPr>
        <w:t xml:space="preserve"> women with AFS/ASRM stage I/II endometriosis. However, the efficacy of IUI in women with ovarian endometriomas with tubal patency is uncertain. We explored the efficacy of IUI for the treatment of endometrioma-associated subfertility. </w:t>
      </w:r>
    </w:p>
    <w:p w14:paraId="5B9C3F8C" w14:textId="77777777" w:rsidR="00D81787" w:rsidRDefault="00D81787" w:rsidP="00D81787">
      <w:pPr>
        <w:pStyle w:val="NormalWeb"/>
      </w:pPr>
      <w:r>
        <w:rPr>
          <w:rFonts w:ascii="ArialMT" w:hAnsi="ArialMT"/>
        </w:rPr>
        <w:t xml:space="preserve">Methods: We performed a retrospective matched cohort study using propensity matching (PSM) analysis. </w:t>
      </w:r>
      <w:proofErr w:type="spellStart"/>
      <w:r>
        <w:rPr>
          <w:rFonts w:ascii="ArialMT" w:hAnsi="ArialMT"/>
        </w:rPr>
        <w:t>Subfertile</w:t>
      </w:r>
      <w:proofErr w:type="spellEnd"/>
      <w:r>
        <w:rPr>
          <w:rFonts w:ascii="ArialMT" w:hAnsi="ArialMT"/>
        </w:rPr>
        <w:t xml:space="preserve"> couples undergoing IUI with and without ovarian stimulation between January 1, 2015, and May 30, </w:t>
      </w:r>
      <w:proofErr w:type="gramStart"/>
      <w:r>
        <w:rPr>
          <w:rFonts w:ascii="ArialMT" w:hAnsi="ArialMT"/>
        </w:rPr>
        <w:t>2020</w:t>
      </w:r>
      <w:proofErr w:type="gramEnd"/>
      <w:r>
        <w:rPr>
          <w:rFonts w:ascii="ArialMT" w:hAnsi="ArialMT"/>
        </w:rPr>
        <w:t xml:space="preserve"> were reviewed. </w:t>
      </w:r>
    </w:p>
    <w:p w14:paraId="143EB980" w14:textId="77777777" w:rsidR="00D81787" w:rsidRDefault="00D81787" w:rsidP="00D81787">
      <w:pPr>
        <w:pStyle w:val="NormalWeb"/>
      </w:pPr>
      <w:r>
        <w:rPr>
          <w:rFonts w:ascii="ArialMT" w:hAnsi="ArialMT"/>
        </w:rPr>
        <w:t xml:space="preserve">Results: After PSM, 56 women with endometrioma alone were matched to 173 patients with unexplained subfertility. The per-cycle pregnancy rate (PR) was comparable between women with endometrioma-associated subfertility (n = 56, 87 cycles) and women with unexplained subfertility (n = 173, 280 cycles) (9.2% vs. 17.9%, OR 0.47; 95% CI, 0.21-1.03). Subgroup analyses based on IUI with or without stimulation also resulted in comparable results. A trend toward a </w:t>
      </w:r>
      <w:proofErr w:type="gramStart"/>
      <w:r>
        <w:rPr>
          <w:rFonts w:ascii="ArialMT" w:hAnsi="ArialMT"/>
        </w:rPr>
        <w:t>lower cumulative pregnancy rates (CPRs)</w:t>
      </w:r>
      <w:proofErr w:type="gramEnd"/>
      <w:r>
        <w:rPr>
          <w:rFonts w:ascii="ArialMT" w:hAnsi="ArialMT"/>
        </w:rPr>
        <w:t xml:space="preserve"> was seen in women with endometrioma (14.3%, 8/56) compared with women with unexplained subfertility (28.9%, 50/173), but the differences were not significant (HR 0.49; 95% CI, 0.23-1.15). However, patients with endometrioma were nearly twice as likely to converse to IVF treatment compared with those without the disease (60.7% versus 43.9%; OR 1.97; 95% CI, 1.07-3.65). </w:t>
      </w:r>
    </w:p>
    <w:p w14:paraId="455F1C98" w14:textId="77777777" w:rsidR="00D81787" w:rsidRDefault="00D81787" w:rsidP="00D81787">
      <w:pPr>
        <w:pStyle w:val="NormalWeb"/>
      </w:pPr>
      <w:r>
        <w:rPr>
          <w:rFonts w:ascii="ArialMT" w:hAnsi="ArialMT"/>
        </w:rPr>
        <w:t xml:space="preserve">Conclusion: IUI may be a viable approach for </w:t>
      </w:r>
      <w:proofErr w:type="spellStart"/>
      <w:r>
        <w:rPr>
          <w:rFonts w:ascii="ArialMT" w:hAnsi="ArialMT"/>
        </w:rPr>
        <w:t>subfertile</w:t>
      </w:r>
      <w:proofErr w:type="spellEnd"/>
      <w:r>
        <w:rPr>
          <w:rFonts w:ascii="ArialMT" w:hAnsi="ArialMT"/>
        </w:rPr>
        <w:t xml:space="preserve"> women with endometrioma and no other identifiable infertility factor. More studies are needed to reassure the findings. </w:t>
      </w:r>
    </w:p>
    <w:p w14:paraId="6CD8DCCA" w14:textId="77777777" w:rsidR="00D81787" w:rsidRDefault="00D81787" w:rsidP="00D81787">
      <w:pPr>
        <w:pStyle w:val="NormalWeb"/>
      </w:pPr>
      <w:r>
        <w:rPr>
          <w:rFonts w:ascii="ArialMT" w:hAnsi="ArialMT"/>
        </w:rPr>
        <w:t xml:space="preserve">Keywords: Endometrioma; Intrauterine insemination; Propensity score matching; Subfertility. </w:t>
      </w:r>
    </w:p>
    <w:p w14:paraId="3DF3E919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MT">
    <w:altName w:val="Arial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787"/>
    <w:rsid w:val="00432D50"/>
    <w:rsid w:val="00A74000"/>
    <w:rsid w:val="00D30F83"/>
    <w:rsid w:val="00D7461F"/>
    <w:rsid w:val="00D81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72E62CE"/>
  <w15:chartTrackingRefBased/>
  <w15:docId w15:val="{861B16A1-E766-EC4A-93ED-E7576F815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81787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685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92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293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333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8425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6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342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293</Words>
  <Characters>1676</Characters>
  <Application>Microsoft Office Word</Application>
  <DocSecurity>0</DocSecurity>
  <Lines>13</Lines>
  <Paragraphs>3</Paragraphs>
  <ScaleCrop>false</ScaleCrop>
  <Company/>
  <LinksUpToDate>false</LinksUpToDate>
  <CharactersWithSpaces>1966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2022-02-13T21:24:00Z</dcterms:created>
  <dcterms:modified xsi:type="dcterms:W3CDTF">2022-02-13T21:24:00Z</dcterms:modified>
</cp:coreProperties>
</file>