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9A3F6" w14:textId="77777777" w:rsidR="00E455AB" w:rsidRDefault="00E455AB" w:rsidP="00E455AB">
      <w:pPr>
        <w:pStyle w:val="NormalWeb"/>
      </w:pPr>
      <w:r>
        <w:rPr>
          <w:rFonts w:ascii="Calibri" w:hAnsi="Calibri" w:cs="Calibri"/>
          <w:b/>
          <w:bCs/>
          <w:color w:val="FF0000"/>
        </w:rPr>
        <w:t xml:space="preserve">18. Molecular analysis suggests oligoclonality and metastasis of endometriosis lesions across anatomically defined subtypes </w:t>
      </w:r>
    </w:p>
    <w:p w14:paraId="70A3E942" w14:textId="77777777" w:rsidR="00E455AB" w:rsidRDefault="00E455AB" w:rsidP="00E455AB">
      <w:pPr>
        <w:pStyle w:val="NormalWeb"/>
      </w:pPr>
      <w:r>
        <w:rPr>
          <w:rFonts w:ascii="Calibri" w:hAnsi="Calibri" w:cs="Calibri"/>
          <w:color w:val="006DBF"/>
        </w:rPr>
        <w:t xml:space="preserve">Teresa H </w:t>
      </w:r>
      <w:proofErr w:type="spellStart"/>
      <w:r>
        <w:rPr>
          <w:rFonts w:ascii="Calibri" w:hAnsi="Calibri" w:cs="Calibri"/>
          <w:color w:val="006DBF"/>
        </w:rPr>
        <w:t>Praetorius</w:t>
      </w:r>
      <w:proofErr w:type="spellEnd"/>
      <w:r>
        <w:rPr>
          <w:rFonts w:ascii="Calibri" w:hAnsi="Calibri" w:cs="Calibri"/>
          <w:color w:val="006DBF"/>
        </w:rPr>
        <w:t xml:space="preserve">, Anna </w:t>
      </w:r>
      <w:proofErr w:type="spellStart"/>
      <w:r>
        <w:rPr>
          <w:rFonts w:ascii="Calibri" w:hAnsi="Calibri" w:cs="Calibri"/>
          <w:color w:val="006DBF"/>
        </w:rPr>
        <w:t>Leonova</w:t>
      </w:r>
      <w:proofErr w:type="spellEnd"/>
      <w:r>
        <w:rPr>
          <w:rFonts w:ascii="Calibri" w:hAnsi="Calibri" w:cs="Calibri"/>
          <w:color w:val="006DBF"/>
        </w:rPr>
        <w:t xml:space="preserve">, Vivian Lac, Janine </w:t>
      </w:r>
      <w:proofErr w:type="spellStart"/>
      <w:r>
        <w:rPr>
          <w:rFonts w:ascii="Calibri" w:hAnsi="Calibri" w:cs="Calibri"/>
          <w:color w:val="006DBF"/>
        </w:rPr>
        <w:t>Senz</w:t>
      </w:r>
      <w:proofErr w:type="spellEnd"/>
      <w:r>
        <w:rPr>
          <w:rFonts w:ascii="Calibri" w:hAnsi="Calibri" w:cs="Calibri"/>
          <w:color w:val="006DBF"/>
        </w:rPr>
        <w:t xml:space="preserve">, Basile Tessier-Cloutier, </w:t>
      </w:r>
      <w:proofErr w:type="spellStart"/>
      <w:r>
        <w:rPr>
          <w:rFonts w:ascii="Calibri" w:hAnsi="Calibri" w:cs="Calibri"/>
          <w:color w:val="006DBF"/>
        </w:rPr>
        <w:t>Tayyebeh</w:t>
      </w:r>
      <w:proofErr w:type="spellEnd"/>
      <w:r>
        <w:rPr>
          <w:rFonts w:ascii="Calibri" w:hAnsi="Calibri" w:cs="Calibri"/>
          <w:color w:val="006DBF"/>
        </w:rPr>
        <w:t xml:space="preserve"> M </w:t>
      </w:r>
      <w:proofErr w:type="spellStart"/>
      <w:r>
        <w:rPr>
          <w:rFonts w:ascii="Calibri" w:hAnsi="Calibri" w:cs="Calibri"/>
          <w:color w:val="006DBF"/>
        </w:rPr>
        <w:t>Nazeran</w:t>
      </w:r>
      <w:proofErr w:type="spellEnd"/>
      <w:r>
        <w:rPr>
          <w:rFonts w:ascii="Calibri" w:hAnsi="Calibri" w:cs="Calibri"/>
          <w:color w:val="006DBF"/>
        </w:rPr>
        <w:t xml:space="preserve">, Martin </w:t>
      </w:r>
      <w:proofErr w:type="spellStart"/>
      <w:r>
        <w:rPr>
          <w:rFonts w:ascii="Calibri" w:hAnsi="Calibri" w:cs="Calibri"/>
          <w:color w:val="006DBF"/>
        </w:rPr>
        <w:t>Köbel</w:t>
      </w:r>
      <w:proofErr w:type="spellEnd"/>
      <w:r>
        <w:rPr>
          <w:rFonts w:ascii="Calibri" w:hAnsi="Calibri" w:cs="Calibri"/>
          <w:color w:val="006DBF"/>
        </w:rPr>
        <w:t xml:space="preserve">, Marcel Grube, Bernhard Kraemer, Paul J Yong, Stefan </w:t>
      </w:r>
      <w:proofErr w:type="spellStart"/>
      <w:r>
        <w:rPr>
          <w:rFonts w:ascii="Calibri" w:hAnsi="Calibri" w:cs="Calibri"/>
          <w:color w:val="006DBF"/>
        </w:rPr>
        <w:t>Kommoss</w:t>
      </w:r>
      <w:proofErr w:type="spellEnd"/>
      <w:r>
        <w:rPr>
          <w:rFonts w:ascii="Calibri" w:hAnsi="Calibri" w:cs="Calibri"/>
          <w:color w:val="006DBF"/>
        </w:rPr>
        <w:t xml:space="preserve">, Michael S </w:t>
      </w:r>
      <w:proofErr w:type="spellStart"/>
      <w:r>
        <w:rPr>
          <w:rFonts w:ascii="Calibri" w:hAnsi="Calibri" w:cs="Calibri"/>
          <w:color w:val="006DBF"/>
        </w:rPr>
        <w:t>Anglesio</w:t>
      </w:r>
      <w:proofErr w:type="spellEnd"/>
      <w:r>
        <w:rPr>
          <w:rFonts w:ascii="Calibri" w:hAnsi="Calibri" w:cs="Calibri"/>
          <w:color w:val="006DBF"/>
        </w:rPr>
        <w:br/>
      </w:r>
      <w:proofErr w:type="spellStart"/>
      <w:r>
        <w:rPr>
          <w:rFonts w:ascii="Calibri" w:hAnsi="Calibri" w:cs="Calibri"/>
          <w:color w:val="006DBF"/>
        </w:rPr>
        <w:t>Fertil</w:t>
      </w:r>
      <w:proofErr w:type="spellEnd"/>
      <w:r>
        <w:rPr>
          <w:rFonts w:ascii="Calibri" w:hAnsi="Calibri" w:cs="Calibri"/>
          <w:color w:val="006DBF"/>
        </w:rPr>
        <w:t xml:space="preserve"> </w:t>
      </w:r>
      <w:proofErr w:type="spellStart"/>
      <w:r>
        <w:rPr>
          <w:rFonts w:ascii="Calibri" w:hAnsi="Calibri" w:cs="Calibri"/>
          <w:color w:val="006DBF"/>
        </w:rPr>
        <w:t>Steril</w:t>
      </w:r>
      <w:proofErr w:type="spellEnd"/>
      <w:r>
        <w:rPr>
          <w:rFonts w:ascii="Calibri" w:hAnsi="Calibri" w:cs="Calibri"/>
          <w:color w:val="006DBF"/>
        </w:rPr>
        <w:t xml:space="preserve">. 2022 Jun </w:t>
      </w:r>
      <w:proofErr w:type="gramStart"/>
      <w:r>
        <w:rPr>
          <w:rFonts w:ascii="Calibri" w:hAnsi="Calibri" w:cs="Calibri"/>
          <w:color w:val="006DBF"/>
        </w:rPr>
        <w:t>14;S</w:t>
      </w:r>
      <w:proofErr w:type="gramEnd"/>
      <w:r>
        <w:rPr>
          <w:rFonts w:ascii="Calibri" w:hAnsi="Calibri" w:cs="Calibri"/>
          <w:color w:val="006DBF"/>
        </w:rPr>
        <w:t xml:space="preserve">0015-0282(22)00339-9.doi: 10.1016/j.fertnstert.2022.05.030.Online ahead of print. </w:t>
      </w:r>
    </w:p>
    <w:p w14:paraId="5B388176" w14:textId="77777777" w:rsidR="00E455AB" w:rsidRDefault="00E455AB" w:rsidP="00E455AB">
      <w:pPr>
        <w:pStyle w:val="NormalWeb"/>
      </w:pPr>
      <w:r>
        <w:rPr>
          <w:rFonts w:ascii="Calibri" w:hAnsi="Calibri" w:cs="Calibri"/>
          <w:b/>
          <w:bCs/>
          <w:color w:val="1E1E1E"/>
        </w:rPr>
        <w:t>Abstract</w:t>
      </w:r>
      <w:r>
        <w:rPr>
          <w:rFonts w:ascii="Calibri" w:hAnsi="Calibri" w:cs="Calibri"/>
          <w:b/>
          <w:bCs/>
          <w:color w:val="1E1E1E"/>
        </w:rPr>
        <w:br/>
      </w:r>
      <w:proofErr w:type="spellStart"/>
      <w:proofErr w:type="gramStart"/>
      <w:r>
        <w:rPr>
          <w:rFonts w:ascii="Calibri" w:hAnsi="Calibri" w:cs="Calibri"/>
          <w:b/>
          <w:bCs/>
          <w:color w:val="1E1E1E"/>
        </w:rPr>
        <w:t>Objective:</w:t>
      </w:r>
      <w:r>
        <w:rPr>
          <w:rFonts w:ascii="Calibri" w:hAnsi="Calibri" w:cs="Calibri"/>
          <w:color w:val="1E1E1E"/>
        </w:rPr>
        <w:t>To</w:t>
      </w:r>
      <w:proofErr w:type="spellEnd"/>
      <w:proofErr w:type="gramEnd"/>
      <w:r>
        <w:rPr>
          <w:rFonts w:ascii="Calibri" w:hAnsi="Calibri" w:cs="Calibri"/>
          <w:color w:val="1E1E1E"/>
        </w:rPr>
        <w:t xml:space="preserve"> investigate the heterogeneity of somatic cancer-driver mutations within </w:t>
      </w:r>
    </w:p>
    <w:p w14:paraId="21CB68B5" w14:textId="77777777" w:rsidR="00E455AB" w:rsidRDefault="00E455AB" w:rsidP="00E455AB">
      <w:pPr>
        <w:pStyle w:val="NormalWeb"/>
      </w:pPr>
      <w:r>
        <w:rPr>
          <w:rFonts w:ascii="Calibri" w:hAnsi="Calibri" w:cs="Calibri"/>
          <w:color w:val="1E1E1E"/>
        </w:rPr>
        <w:t xml:space="preserve">patients and across endometriosis types. </w:t>
      </w:r>
    </w:p>
    <w:p w14:paraId="137C9D41" w14:textId="77777777" w:rsidR="00E455AB" w:rsidRDefault="00E455AB" w:rsidP="00E455AB">
      <w:pPr>
        <w:pStyle w:val="NormalWeb"/>
      </w:pPr>
      <w:r>
        <w:rPr>
          <w:rFonts w:ascii="Calibri" w:hAnsi="Calibri" w:cs="Calibri"/>
          <w:b/>
          <w:bCs/>
          <w:color w:val="1E1E1E"/>
        </w:rPr>
        <w:t xml:space="preserve">Design: </w:t>
      </w:r>
      <w:r>
        <w:rPr>
          <w:rFonts w:ascii="Calibri" w:hAnsi="Calibri" w:cs="Calibri"/>
          <w:color w:val="1E1E1E"/>
        </w:rPr>
        <w:t>A single-</w:t>
      </w:r>
      <w:proofErr w:type="spellStart"/>
      <w:r>
        <w:rPr>
          <w:rFonts w:ascii="Calibri" w:hAnsi="Calibri" w:cs="Calibri"/>
          <w:color w:val="1E1E1E"/>
        </w:rPr>
        <w:t>center</w:t>
      </w:r>
      <w:proofErr w:type="spellEnd"/>
      <w:r>
        <w:rPr>
          <w:rFonts w:ascii="Calibri" w:hAnsi="Calibri" w:cs="Calibri"/>
          <w:color w:val="1E1E1E"/>
        </w:rPr>
        <w:t xml:space="preserve"> cohort, retrospective study. </w:t>
      </w:r>
    </w:p>
    <w:p w14:paraId="2EA9949D" w14:textId="77777777" w:rsidR="00E455AB" w:rsidRDefault="00E455AB" w:rsidP="00E455AB">
      <w:pPr>
        <w:pStyle w:val="NormalWeb"/>
      </w:pPr>
      <w:r>
        <w:rPr>
          <w:rFonts w:ascii="Calibri" w:hAnsi="Calibri" w:cs="Calibri"/>
          <w:b/>
          <w:bCs/>
          <w:color w:val="1E1E1E"/>
        </w:rPr>
        <w:t xml:space="preserve">Setting: </w:t>
      </w:r>
      <w:r>
        <w:rPr>
          <w:rFonts w:ascii="Calibri" w:hAnsi="Calibri" w:cs="Calibri"/>
          <w:color w:val="1E1E1E"/>
        </w:rPr>
        <w:t xml:space="preserve">Tertiary specialist-care </w:t>
      </w:r>
      <w:proofErr w:type="spellStart"/>
      <w:r>
        <w:rPr>
          <w:rFonts w:ascii="Calibri" w:hAnsi="Calibri" w:cs="Calibri"/>
          <w:color w:val="1E1E1E"/>
        </w:rPr>
        <w:t>center</w:t>
      </w:r>
      <w:proofErr w:type="spellEnd"/>
      <w:r>
        <w:rPr>
          <w:rFonts w:ascii="Calibri" w:hAnsi="Calibri" w:cs="Calibri"/>
          <w:color w:val="1E1E1E"/>
        </w:rPr>
        <w:t xml:space="preserve"> at a university hospital. </w:t>
      </w:r>
    </w:p>
    <w:p w14:paraId="3AB7283F" w14:textId="77777777" w:rsidR="00E455AB" w:rsidRDefault="00E455AB" w:rsidP="00E455AB">
      <w:pPr>
        <w:pStyle w:val="NormalWeb"/>
      </w:pPr>
      <w:r>
        <w:rPr>
          <w:rFonts w:ascii="Calibri" w:hAnsi="Calibri" w:cs="Calibri"/>
          <w:b/>
          <w:bCs/>
          <w:color w:val="1E1E1E"/>
        </w:rPr>
        <w:t xml:space="preserve">Patient(s): </w:t>
      </w:r>
      <w:r>
        <w:rPr>
          <w:rFonts w:ascii="Calibri" w:hAnsi="Calibri" w:cs="Calibri"/>
          <w:color w:val="1E1E1E"/>
        </w:rPr>
        <w:t xml:space="preserve">Patients with surgically and histologically confirmed endometriosis of at least 2 anatomically distinct types (ovarian, deep infiltrating, and superficial). </w:t>
      </w:r>
    </w:p>
    <w:p w14:paraId="1F8FD13B" w14:textId="77777777" w:rsidR="00E455AB" w:rsidRDefault="00E455AB" w:rsidP="00E455AB">
      <w:pPr>
        <w:pStyle w:val="NormalWeb"/>
      </w:pPr>
      <w:r>
        <w:rPr>
          <w:rFonts w:ascii="Calibri" w:hAnsi="Calibri" w:cs="Calibri"/>
          <w:b/>
          <w:bCs/>
          <w:color w:val="1E1E1E"/>
        </w:rPr>
        <w:t xml:space="preserve">Intervention(s): </w:t>
      </w:r>
      <w:r>
        <w:rPr>
          <w:rFonts w:ascii="Calibri" w:hAnsi="Calibri" w:cs="Calibri"/>
          <w:color w:val="1E1E1E"/>
        </w:rPr>
        <w:t xml:space="preserve">None. </w:t>
      </w:r>
    </w:p>
    <w:p w14:paraId="6B5A7DD4" w14:textId="77777777" w:rsidR="00E455AB" w:rsidRDefault="00E455AB" w:rsidP="00E455AB">
      <w:pPr>
        <w:pStyle w:val="NormalWeb"/>
      </w:pPr>
      <w:r>
        <w:rPr>
          <w:rFonts w:ascii="Calibri" w:hAnsi="Calibri" w:cs="Calibri"/>
          <w:b/>
          <w:bCs/>
          <w:color w:val="1E1E1E"/>
        </w:rPr>
        <w:t xml:space="preserve">Main outcome measure(s): </w:t>
      </w:r>
      <w:r>
        <w:rPr>
          <w:rFonts w:ascii="Calibri" w:hAnsi="Calibri" w:cs="Calibri"/>
          <w:color w:val="1E1E1E"/>
        </w:rPr>
        <w:t xml:space="preserve">Specimens were </w:t>
      </w:r>
      <w:proofErr w:type="spellStart"/>
      <w:r>
        <w:rPr>
          <w:rFonts w:ascii="Calibri" w:hAnsi="Calibri" w:cs="Calibri"/>
          <w:color w:val="1E1E1E"/>
        </w:rPr>
        <w:t>analyzed</w:t>
      </w:r>
      <w:proofErr w:type="spellEnd"/>
      <w:r>
        <w:rPr>
          <w:rFonts w:ascii="Calibri" w:hAnsi="Calibri" w:cs="Calibri"/>
          <w:color w:val="1E1E1E"/>
        </w:rPr>
        <w:t xml:space="preserve"> for the presence or absence of somatic cancer-driver mutations using targeted panel sequencing with orthogonal validation using droplet digital polymerase chain reaction and mutation-surrogate immunohistochemistry. </w:t>
      </w:r>
    </w:p>
    <w:p w14:paraId="099A0D1A" w14:textId="77777777" w:rsidR="00E455AB" w:rsidRDefault="00E455AB" w:rsidP="00E455AB">
      <w:pPr>
        <w:pStyle w:val="NormalWeb"/>
      </w:pPr>
      <w:r>
        <w:rPr>
          <w:rFonts w:ascii="Calibri" w:hAnsi="Calibri" w:cs="Calibri"/>
          <w:b/>
          <w:bCs/>
          <w:color w:val="1E1E1E"/>
        </w:rPr>
        <w:t xml:space="preserve">Result(s): </w:t>
      </w:r>
      <w:r>
        <w:rPr>
          <w:rFonts w:ascii="Calibri" w:hAnsi="Calibri" w:cs="Calibri"/>
          <w:color w:val="1E1E1E"/>
        </w:rPr>
        <w:t xml:space="preserve">It was found that 13 of 27 patients had informative somatic driver mutations in endometriosis lesions; of these 13 patients, 9 had identical mutations across distinct lesions. </w:t>
      </w:r>
    </w:p>
    <w:p w14:paraId="75F56540" w14:textId="77777777" w:rsidR="00E455AB" w:rsidRDefault="00E455AB" w:rsidP="00E455AB">
      <w:pPr>
        <w:pStyle w:val="NormalWeb"/>
      </w:pPr>
      <w:r>
        <w:rPr>
          <w:rFonts w:ascii="Calibri" w:hAnsi="Calibri" w:cs="Calibri"/>
          <w:color w:val="1E1E1E"/>
        </w:rPr>
        <w:t xml:space="preserve">Endometriomas showed a higher mutational complexity, with functionally redundant driver mutations in the same gene and within the same lesions. </w:t>
      </w:r>
    </w:p>
    <w:p w14:paraId="623A3B0A" w14:textId="77777777" w:rsidR="00E455AB" w:rsidRDefault="00E455AB" w:rsidP="00E455AB">
      <w:pPr>
        <w:pStyle w:val="NormalWeb"/>
      </w:pPr>
      <w:r>
        <w:rPr>
          <w:rFonts w:ascii="Calibri" w:hAnsi="Calibri" w:cs="Calibri"/>
          <w:b/>
          <w:bCs/>
          <w:color w:val="1E1E1E"/>
        </w:rPr>
        <w:t xml:space="preserve">Conclusion(s): </w:t>
      </w:r>
      <w:r>
        <w:rPr>
          <w:rFonts w:ascii="Calibri" w:hAnsi="Calibri" w:cs="Calibri"/>
          <w:color w:val="1E1E1E"/>
        </w:rPr>
        <w:t xml:space="preserve">Our data are consistent with clonality across endometriosis lesions, regardless of subtype. Further, the finding of redundancy in mutations within the same gene and lesions is consistent with endometriosis representing an oligoclonal disease with dissemination likely to consist of multiple epithelial clones traveling together. This suggests that the current anatomically defined classification of endometriosis does not fully recognize the </w:t>
      </w:r>
      <w:proofErr w:type="spellStart"/>
      <w:r>
        <w:rPr>
          <w:rFonts w:ascii="Calibri" w:hAnsi="Calibri" w:cs="Calibri"/>
          <w:color w:val="1E1E1E"/>
        </w:rPr>
        <w:t>etiology</w:t>
      </w:r>
      <w:proofErr w:type="spellEnd"/>
      <w:r>
        <w:rPr>
          <w:rFonts w:ascii="Calibri" w:hAnsi="Calibri" w:cs="Calibri"/>
          <w:color w:val="1E1E1E"/>
        </w:rPr>
        <w:t xml:space="preserve"> of the disease. A novel classification should consider genomic and other molecular features to promote personalized endometriosis diagnosis and care. </w:t>
      </w:r>
    </w:p>
    <w:p w14:paraId="6EF7D2F6" w14:textId="77777777" w:rsidR="00E455AB" w:rsidRDefault="00E455AB" w:rsidP="00E455AB">
      <w:pPr>
        <w:pStyle w:val="NormalWeb"/>
      </w:pPr>
      <w:r>
        <w:rPr>
          <w:rFonts w:ascii="Calibri" w:hAnsi="Calibri" w:cs="Calibri"/>
          <w:b/>
          <w:bCs/>
          <w:color w:val="1E1E1E"/>
        </w:rPr>
        <w:t xml:space="preserve">Keywords: </w:t>
      </w:r>
      <w:r>
        <w:rPr>
          <w:rFonts w:ascii="Calibri" w:hAnsi="Calibri" w:cs="Calibri"/>
          <w:color w:val="1E1E1E"/>
        </w:rPr>
        <w:t xml:space="preserve">Endometriosis; heterogeneity; metastasis; oligoclonality; somatic cancer-driver mutations. </w:t>
      </w:r>
    </w:p>
    <w:p w14:paraId="5C04FB5B"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5AB"/>
    <w:rsid w:val="001C7F88"/>
    <w:rsid w:val="00432D50"/>
    <w:rsid w:val="00875F78"/>
    <w:rsid w:val="00A74000"/>
    <w:rsid w:val="00B02158"/>
    <w:rsid w:val="00BE7B39"/>
    <w:rsid w:val="00D10F9D"/>
    <w:rsid w:val="00D30F83"/>
    <w:rsid w:val="00D7461F"/>
    <w:rsid w:val="00DB67B4"/>
    <w:rsid w:val="00E455AB"/>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779652F"/>
  <w15:chartTrackingRefBased/>
  <w15:docId w15:val="{568D085C-D589-9347-B6B6-A1E84C7C3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455A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7669">
      <w:bodyDiv w:val="1"/>
      <w:marLeft w:val="0"/>
      <w:marRight w:val="0"/>
      <w:marTop w:val="0"/>
      <w:marBottom w:val="0"/>
      <w:divBdr>
        <w:top w:val="none" w:sz="0" w:space="0" w:color="auto"/>
        <w:left w:val="none" w:sz="0" w:space="0" w:color="auto"/>
        <w:bottom w:val="none" w:sz="0" w:space="0" w:color="auto"/>
        <w:right w:val="none" w:sz="0" w:space="0" w:color="auto"/>
      </w:divBdr>
      <w:divsChild>
        <w:div w:id="1375735649">
          <w:marLeft w:val="0"/>
          <w:marRight w:val="0"/>
          <w:marTop w:val="0"/>
          <w:marBottom w:val="0"/>
          <w:divBdr>
            <w:top w:val="none" w:sz="0" w:space="0" w:color="auto"/>
            <w:left w:val="none" w:sz="0" w:space="0" w:color="auto"/>
            <w:bottom w:val="none" w:sz="0" w:space="0" w:color="auto"/>
            <w:right w:val="none" w:sz="0" w:space="0" w:color="auto"/>
          </w:divBdr>
          <w:divsChild>
            <w:div w:id="1664504873">
              <w:marLeft w:val="0"/>
              <w:marRight w:val="0"/>
              <w:marTop w:val="0"/>
              <w:marBottom w:val="0"/>
              <w:divBdr>
                <w:top w:val="none" w:sz="0" w:space="0" w:color="auto"/>
                <w:left w:val="none" w:sz="0" w:space="0" w:color="auto"/>
                <w:bottom w:val="none" w:sz="0" w:space="0" w:color="auto"/>
                <w:right w:val="none" w:sz="0" w:space="0" w:color="auto"/>
              </w:divBdr>
              <w:divsChild>
                <w:div w:id="270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6378">
          <w:marLeft w:val="0"/>
          <w:marRight w:val="0"/>
          <w:marTop w:val="0"/>
          <w:marBottom w:val="0"/>
          <w:divBdr>
            <w:top w:val="none" w:sz="0" w:space="0" w:color="auto"/>
            <w:left w:val="none" w:sz="0" w:space="0" w:color="auto"/>
            <w:bottom w:val="none" w:sz="0" w:space="0" w:color="auto"/>
            <w:right w:val="none" w:sz="0" w:space="0" w:color="auto"/>
          </w:divBdr>
          <w:divsChild>
            <w:div w:id="1444765220">
              <w:marLeft w:val="0"/>
              <w:marRight w:val="0"/>
              <w:marTop w:val="0"/>
              <w:marBottom w:val="0"/>
              <w:divBdr>
                <w:top w:val="none" w:sz="0" w:space="0" w:color="auto"/>
                <w:left w:val="none" w:sz="0" w:space="0" w:color="auto"/>
                <w:bottom w:val="none" w:sz="0" w:space="0" w:color="auto"/>
                <w:right w:val="none" w:sz="0" w:space="0" w:color="auto"/>
              </w:divBdr>
              <w:divsChild>
                <w:div w:id="19917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329</Words>
  <Characters>1878</Characters>
  <Application>Microsoft Office Word</Application>
  <DocSecurity>0</DocSecurity>
  <Lines>15</Lines>
  <Paragraphs>4</Paragraphs>
  <ScaleCrop>false</ScaleCrop>
  <Company/>
  <LinksUpToDate>false</LinksUpToDate>
  <CharactersWithSpaces>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2022-07-30T15:31:00Z</dcterms:created>
  <dcterms:modified xsi:type="dcterms:W3CDTF">2022-07-30T15:31:00Z</dcterms:modified>
</cp:coreProperties>
</file>