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B99DEF" w14:textId="77777777" w:rsidR="00C12047" w:rsidRDefault="00C12047" w:rsidP="00C12047">
      <w:pPr>
        <w:pStyle w:val="NormalWeb"/>
      </w:pPr>
      <w:r>
        <w:rPr>
          <w:rFonts w:ascii="Calibri" w:hAnsi="Calibri" w:cs="Calibri"/>
          <w:b/>
          <w:bCs/>
          <w:color w:val="FF0000"/>
        </w:rPr>
        <w:t xml:space="preserve">24. Evaluation of Soluble CD90: Potential for Diagnostic Significance in Endometriosis Patients </w:t>
      </w:r>
    </w:p>
    <w:p w14:paraId="4BECD47B" w14:textId="77777777" w:rsidR="00C12047" w:rsidRDefault="00C12047" w:rsidP="00C12047">
      <w:pPr>
        <w:pStyle w:val="NormalWeb"/>
      </w:pPr>
      <w:r>
        <w:rPr>
          <w:rFonts w:ascii="Calibri" w:hAnsi="Calibri" w:cs="Calibri"/>
          <w:color w:val="006DBF"/>
        </w:rPr>
        <w:t xml:space="preserve">Ivan M </w:t>
      </w:r>
      <w:proofErr w:type="spellStart"/>
      <w:r>
        <w:rPr>
          <w:rFonts w:ascii="Calibri" w:hAnsi="Calibri" w:cs="Calibri"/>
          <w:color w:val="006DBF"/>
        </w:rPr>
        <w:t>Bochev</w:t>
      </w:r>
      <w:proofErr w:type="spellEnd"/>
      <w:r>
        <w:rPr>
          <w:rFonts w:ascii="Calibri" w:hAnsi="Calibri" w:cs="Calibri"/>
          <w:color w:val="006DBF"/>
        </w:rPr>
        <w:t xml:space="preserve">, </w:t>
      </w:r>
      <w:proofErr w:type="spellStart"/>
      <w:r>
        <w:rPr>
          <w:rFonts w:ascii="Calibri" w:hAnsi="Calibri" w:cs="Calibri"/>
          <w:color w:val="006DBF"/>
        </w:rPr>
        <w:t>Iliya</w:t>
      </w:r>
      <w:proofErr w:type="spellEnd"/>
      <w:r>
        <w:rPr>
          <w:rFonts w:ascii="Calibri" w:hAnsi="Calibri" w:cs="Calibri"/>
          <w:color w:val="006DBF"/>
        </w:rPr>
        <w:t xml:space="preserve"> I </w:t>
      </w:r>
      <w:proofErr w:type="spellStart"/>
      <w:r>
        <w:rPr>
          <w:rFonts w:ascii="Calibri" w:hAnsi="Calibri" w:cs="Calibri"/>
          <w:color w:val="006DBF"/>
        </w:rPr>
        <w:t>Karagyozov</w:t>
      </w:r>
      <w:proofErr w:type="spellEnd"/>
      <w:r>
        <w:rPr>
          <w:rFonts w:ascii="Calibri" w:hAnsi="Calibri" w:cs="Calibri"/>
          <w:color w:val="006DBF"/>
        </w:rPr>
        <w:t xml:space="preserve">, Nadya M </w:t>
      </w:r>
      <w:proofErr w:type="spellStart"/>
      <w:r>
        <w:rPr>
          <w:rFonts w:ascii="Calibri" w:hAnsi="Calibri" w:cs="Calibri"/>
          <w:color w:val="006DBF"/>
        </w:rPr>
        <w:t>Magunska</w:t>
      </w:r>
      <w:proofErr w:type="spellEnd"/>
      <w:r>
        <w:rPr>
          <w:rFonts w:ascii="Calibri" w:hAnsi="Calibri" w:cs="Calibri"/>
          <w:color w:val="006DBF"/>
        </w:rPr>
        <w:t xml:space="preserve">, </w:t>
      </w:r>
      <w:proofErr w:type="spellStart"/>
      <w:r>
        <w:rPr>
          <w:rFonts w:ascii="Calibri" w:hAnsi="Calibri" w:cs="Calibri"/>
          <w:color w:val="006DBF"/>
        </w:rPr>
        <w:t>Vesselina</w:t>
      </w:r>
      <w:proofErr w:type="spellEnd"/>
      <w:r>
        <w:rPr>
          <w:rFonts w:ascii="Calibri" w:hAnsi="Calibri" w:cs="Calibri"/>
          <w:color w:val="006DBF"/>
        </w:rPr>
        <w:t xml:space="preserve"> S </w:t>
      </w:r>
      <w:proofErr w:type="spellStart"/>
      <w:r>
        <w:rPr>
          <w:rFonts w:ascii="Calibri" w:hAnsi="Calibri" w:cs="Calibri"/>
          <w:color w:val="006DBF"/>
        </w:rPr>
        <w:t>Koleva</w:t>
      </w:r>
      <w:proofErr w:type="spellEnd"/>
      <w:r>
        <w:rPr>
          <w:rFonts w:ascii="Calibri" w:hAnsi="Calibri" w:cs="Calibri"/>
          <w:color w:val="006DBF"/>
        </w:rPr>
        <w:t xml:space="preserve">, Ivan V </w:t>
      </w:r>
      <w:proofErr w:type="spellStart"/>
      <w:r>
        <w:rPr>
          <w:rFonts w:ascii="Calibri" w:hAnsi="Calibri" w:cs="Calibri"/>
          <w:color w:val="006DBF"/>
        </w:rPr>
        <w:t>Krumov</w:t>
      </w:r>
      <w:proofErr w:type="spellEnd"/>
      <w:r>
        <w:rPr>
          <w:rFonts w:ascii="Calibri" w:hAnsi="Calibri" w:cs="Calibri"/>
          <w:color w:val="006DBF"/>
        </w:rPr>
        <w:t xml:space="preserve">, Elena S </w:t>
      </w:r>
      <w:proofErr w:type="spellStart"/>
      <w:r>
        <w:rPr>
          <w:rFonts w:ascii="Calibri" w:hAnsi="Calibri" w:cs="Calibri"/>
          <w:color w:val="006DBF"/>
        </w:rPr>
        <w:t>Puncheva</w:t>
      </w:r>
      <w:proofErr w:type="spellEnd"/>
      <w:r>
        <w:rPr>
          <w:rFonts w:ascii="Calibri" w:hAnsi="Calibri" w:cs="Calibri"/>
          <w:color w:val="006DBF"/>
        </w:rPr>
        <w:t xml:space="preserve">, Georgi P </w:t>
      </w:r>
      <w:proofErr w:type="spellStart"/>
      <w:r>
        <w:rPr>
          <w:rFonts w:ascii="Calibri" w:hAnsi="Calibri" w:cs="Calibri"/>
          <w:color w:val="006DBF"/>
        </w:rPr>
        <w:t>Boyadzhiev</w:t>
      </w:r>
      <w:proofErr w:type="spellEnd"/>
      <w:r>
        <w:rPr>
          <w:rFonts w:ascii="Calibri" w:hAnsi="Calibri" w:cs="Calibri"/>
          <w:color w:val="006DBF"/>
        </w:rPr>
        <w:t xml:space="preserve">, </w:t>
      </w:r>
      <w:proofErr w:type="spellStart"/>
      <w:r>
        <w:rPr>
          <w:rFonts w:ascii="Calibri" w:hAnsi="Calibri" w:cs="Calibri"/>
          <w:color w:val="006DBF"/>
        </w:rPr>
        <w:t>Kameliya</w:t>
      </w:r>
      <w:proofErr w:type="spellEnd"/>
      <w:r>
        <w:rPr>
          <w:rFonts w:ascii="Calibri" w:hAnsi="Calibri" w:cs="Calibri"/>
          <w:color w:val="006DBF"/>
        </w:rPr>
        <w:t xml:space="preserve"> </w:t>
      </w:r>
      <w:proofErr w:type="spellStart"/>
      <w:r>
        <w:rPr>
          <w:rFonts w:ascii="Calibri" w:hAnsi="Calibri" w:cs="Calibri"/>
          <w:color w:val="006DBF"/>
        </w:rPr>
        <w:t>Vinketova</w:t>
      </w:r>
      <w:proofErr w:type="spellEnd"/>
      <w:r>
        <w:rPr>
          <w:rFonts w:ascii="Calibri" w:hAnsi="Calibri" w:cs="Calibri"/>
          <w:color w:val="006DBF"/>
        </w:rPr>
        <w:t xml:space="preserve">, Milena S </w:t>
      </w:r>
      <w:proofErr w:type="spellStart"/>
      <w:r>
        <w:rPr>
          <w:rFonts w:ascii="Calibri" w:hAnsi="Calibri" w:cs="Calibri"/>
          <w:color w:val="006DBF"/>
        </w:rPr>
        <w:t>Mourdjeva</w:t>
      </w:r>
      <w:proofErr w:type="spellEnd"/>
      <w:r>
        <w:rPr>
          <w:rFonts w:ascii="Calibri" w:hAnsi="Calibri" w:cs="Calibri"/>
          <w:color w:val="006DBF"/>
        </w:rPr>
        <w:t xml:space="preserve">, </w:t>
      </w:r>
      <w:proofErr w:type="spellStart"/>
      <w:r>
        <w:rPr>
          <w:rFonts w:ascii="Calibri" w:hAnsi="Calibri" w:cs="Calibri"/>
          <w:color w:val="006DBF"/>
        </w:rPr>
        <w:t>Tsvetelina</w:t>
      </w:r>
      <w:proofErr w:type="spellEnd"/>
      <w:r>
        <w:rPr>
          <w:rFonts w:ascii="Calibri" w:hAnsi="Calibri" w:cs="Calibri"/>
          <w:color w:val="006DBF"/>
        </w:rPr>
        <w:t xml:space="preserve"> P </w:t>
      </w:r>
      <w:proofErr w:type="spellStart"/>
      <w:r>
        <w:rPr>
          <w:rFonts w:ascii="Calibri" w:hAnsi="Calibri" w:cs="Calibri"/>
          <w:color w:val="006DBF"/>
        </w:rPr>
        <w:t>Oreshkova</w:t>
      </w:r>
      <w:proofErr w:type="spellEnd"/>
      <w:r>
        <w:rPr>
          <w:rFonts w:ascii="Calibri" w:hAnsi="Calibri" w:cs="Calibri"/>
          <w:color w:val="006DBF"/>
        </w:rPr>
        <w:br/>
        <w:t>Dis Markers. 2022 Jun 20;</w:t>
      </w:r>
      <w:proofErr w:type="gramStart"/>
      <w:r>
        <w:rPr>
          <w:rFonts w:ascii="Calibri" w:hAnsi="Calibri" w:cs="Calibri"/>
          <w:color w:val="006DBF"/>
        </w:rPr>
        <w:t>2022:9345858.doi</w:t>
      </w:r>
      <w:proofErr w:type="gramEnd"/>
      <w:r>
        <w:rPr>
          <w:rFonts w:ascii="Calibri" w:hAnsi="Calibri" w:cs="Calibri"/>
          <w:color w:val="006DBF"/>
        </w:rPr>
        <w:t xml:space="preserve">: 10.1155/2022/9345858. </w:t>
      </w:r>
      <w:proofErr w:type="spellStart"/>
      <w:r>
        <w:rPr>
          <w:rFonts w:ascii="Calibri" w:hAnsi="Calibri" w:cs="Calibri"/>
          <w:color w:val="006DBF"/>
        </w:rPr>
        <w:t>eCollection</w:t>
      </w:r>
      <w:proofErr w:type="spellEnd"/>
      <w:r>
        <w:rPr>
          <w:rFonts w:ascii="Calibri" w:hAnsi="Calibri" w:cs="Calibri"/>
          <w:color w:val="006DBF"/>
        </w:rPr>
        <w:t xml:space="preserve"> 2022. </w:t>
      </w:r>
    </w:p>
    <w:p w14:paraId="57A059C9" w14:textId="77777777" w:rsidR="00C12047" w:rsidRDefault="00C12047" w:rsidP="00C12047">
      <w:pPr>
        <w:pStyle w:val="NormalWeb"/>
      </w:pPr>
      <w:r>
        <w:rPr>
          <w:rFonts w:ascii="Calibri" w:hAnsi="Calibri" w:cs="Calibri"/>
          <w:b/>
          <w:bCs/>
          <w:color w:val="1E1E1E"/>
        </w:rPr>
        <w:t xml:space="preserve">Abstract </w:t>
      </w:r>
    </w:p>
    <w:p w14:paraId="3DA14B76" w14:textId="77777777" w:rsidR="00C12047" w:rsidRDefault="00C12047" w:rsidP="00C12047">
      <w:pPr>
        <w:pStyle w:val="NormalWeb"/>
      </w:pPr>
      <w:r>
        <w:rPr>
          <w:rFonts w:ascii="Calibri" w:hAnsi="Calibri" w:cs="Calibri"/>
          <w:b/>
          <w:bCs/>
          <w:color w:val="1E1E1E"/>
        </w:rPr>
        <w:t xml:space="preserve">Background: </w:t>
      </w:r>
      <w:r>
        <w:rPr>
          <w:rFonts w:ascii="Calibri" w:hAnsi="Calibri" w:cs="Calibri"/>
          <w:color w:val="1E1E1E"/>
        </w:rPr>
        <w:t xml:space="preserve">Endometriosis is a chronic and debilitating </w:t>
      </w:r>
      <w:proofErr w:type="spellStart"/>
      <w:r>
        <w:rPr>
          <w:rFonts w:ascii="Calibri" w:hAnsi="Calibri" w:cs="Calibri"/>
          <w:color w:val="1E1E1E"/>
        </w:rPr>
        <w:t>gynecologic</w:t>
      </w:r>
      <w:proofErr w:type="spellEnd"/>
      <w:r>
        <w:rPr>
          <w:rFonts w:ascii="Calibri" w:hAnsi="Calibri" w:cs="Calibri"/>
          <w:color w:val="1E1E1E"/>
        </w:rPr>
        <w:t xml:space="preserve"> disorder, driven by endocrine and immune dysfunctions, which lead to poor endometrial differentiation and attenuated fertility. Escape from immune surveillance and involvement of inflammatory mechanisms appear to be factors in disease progression. Current diagnostic guidelines for endometriosis still lack an efficient biomarker. Here, we report a study on two previously unexplored factors as potential biomarkers for endometriosis. </w:t>
      </w:r>
    </w:p>
    <w:p w14:paraId="6FD8C6BB" w14:textId="77777777" w:rsidR="00C12047" w:rsidRDefault="00C12047" w:rsidP="00C12047">
      <w:pPr>
        <w:pStyle w:val="NormalWeb"/>
      </w:pPr>
      <w:r>
        <w:rPr>
          <w:rFonts w:ascii="Calibri" w:hAnsi="Calibri" w:cs="Calibri"/>
          <w:b/>
          <w:bCs/>
          <w:color w:val="1E1E1E"/>
        </w:rPr>
        <w:t xml:space="preserve">Methods: </w:t>
      </w:r>
      <w:r>
        <w:rPr>
          <w:rFonts w:ascii="Calibri" w:hAnsi="Calibri" w:cs="Calibri"/>
          <w:color w:val="1E1E1E"/>
        </w:rPr>
        <w:t xml:space="preserve">A case-control study was performed to evaluate the diagnostic potential of serum CD90 and CD83 levels in endometriosis patients (cases validated by surgical and histological examination) compared to healthy controls. Serum was collected from age-matched females and </w:t>
      </w:r>
      <w:proofErr w:type="spellStart"/>
      <w:r>
        <w:rPr>
          <w:rFonts w:ascii="Calibri" w:hAnsi="Calibri" w:cs="Calibri"/>
          <w:color w:val="1E1E1E"/>
        </w:rPr>
        <w:t>analyzed</w:t>
      </w:r>
      <w:proofErr w:type="spellEnd"/>
      <w:r>
        <w:rPr>
          <w:rFonts w:ascii="Calibri" w:hAnsi="Calibri" w:cs="Calibri"/>
          <w:color w:val="1E1E1E"/>
        </w:rPr>
        <w:t xml:space="preserve"> by ELISA. </w:t>
      </w:r>
    </w:p>
    <w:p w14:paraId="6A4CDE1B" w14:textId="77777777" w:rsidR="00C12047" w:rsidRDefault="00C12047" w:rsidP="00C12047">
      <w:pPr>
        <w:pStyle w:val="NormalWeb"/>
      </w:pPr>
      <w:r>
        <w:rPr>
          <w:rFonts w:ascii="Calibri" w:hAnsi="Calibri" w:cs="Calibri"/>
          <w:b/>
          <w:bCs/>
          <w:color w:val="1E1E1E"/>
        </w:rPr>
        <w:t xml:space="preserve">Results: </w:t>
      </w:r>
      <w:r>
        <w:rPr>
          <w:rFonts w:ascii="Calibri" w:hAnsi="Calibri" w:cs="Calibri"/>
          <w:color w:val="1E1E1E"/>
        </w:rPr>
        <w:t xml:space="preserve">Comparison of endometriosis patients to the control group showed significantly elevated levels of serum CD90 (1160 ± 856 </w:t>
      </w:r>
      <w:proofErr w:type="spellStart"/>
      <w:r>
        <w:rPr>
          <w:rFonts w:ascii="Calibri" w:hAnsi="Calibri" w:cs="Calibri"/>
          <w:color w:val="1E1E1E"/>
        </w:rPr>
        <w:t>pg</w:t>
      </w:r>
      <w:proofErr w:type="spellEnd"/>
      <w:r>
        <w:rPr>
          <w:rFonts w:ascii="Calibri" w:hAnsi="Calibri" w:cs="Calibri"/>
          <w:color w:val="1E1E1E"/>
        </w:rPr>
        <w:t xml:space="preserve">/mL vs. 334 ± 228 </w:t>
      </w:r>
      <w:proofErr w:type="spellStart"/>
      <w:r>
        <w:rPr>
          <w:rFonts w:ascii="Calibri" w:hAnsi="Calibri" w:cs="Calibri"/>
          <w:color w:val="1E1E1E"/>
        </w:rPr>
        <w:t>pg</w:t>
      </w:r>
      <w:proofErr w:type="spellEnd"/>
      <w:r>
        <w:rPr>
          <w:rFonts w:ascii="Calibri" w:hAnsi="Calibri" w:cs="Calibri"/>
          <w:color w:val="1E1E1E"/>
        </w:rPr>
        <w:t xml:space="preserve">/mL; </w:t>
      </w:r>
      <w:r>
        <w:rPr>
          <w:rFonts w:ascii="CambriaMath" w:hAnsi="CambriaMath"/>
          <w:color w:val="1E1E1E"/>
          <w:position w:val="6"/>
          <w:sz w:val="16"/>
          <w:szCs w:val="16"/>
        </w:rPr>
        <w:t xml:space="preserve">∗∗∗∗ </w:t>
      </w:r>
      <w:r>
        <w:rPr>
          <w:rFonts w:ascii="Calibri" w:hAnsi="Calibri" w:cs="Calibri"/>
          <w:i/>
          <w:iCs/>
          <w:color w:val="1E1E1E"/>
        </w:rPr>
        <w:t xml:space="preserve">p </w:t>
      </w:r>
      <w:r>
        <w:rPr>
          <w:rFonts w:ascii="Calibri" w:hAnsi="Calibri" w:cs="Calibri"/>
          <w:color w:val="1E1E1E"/>
        </w:rPr>
        <w:t xml:space="preserve">&lt; 0.0001). A threshold value of 479.4 </w:t>
      </w:r>
      <w:proofErr w:type="spellStart"/>
      <w:r>
        <w:rPr>
          <w:rFonts w:ascii="Calibri" w:hAnsi="Calibri" w:cs="Calibri"/>
          <w:color w:val="1E1E1E"/>
        </w:rPr>
        <w:t>pg</w:t>
      </w:r>
      <w:proofErr w:type="spellEnd"/>
      <w:r>
        <w:rPr>
          <w:rFonts w:ascii="Calibri" w:hAnsi="Calibri" w:cs="Calibri"/>
          <w:color w:val="1E1E1E"/>
        </w:rPr>
        <w:t xml:space="preserve">/mL was defined based on the control results, and the diagnostic efficiency of the test was estimated. The obtained sensitivity (70.4%), specificity (92.9%), positive predictive value (90.5%), and negative predictive value (76.5%) rated the test as one with promising diagnostic potential. In contrast, the analysis of serum CD83 levels showed comparable values in both groups, suggesting no association with patient status. </w:t>
      </w:r>
    </w:p>
    <w:p w14:paraId="21F19A7C" w14:textId="77777777" w:rsidR="00C12047" w:rsidRDefault="00C12047" w:rsidP="00C12047">
      <w:pPr>
        <w:pStyle w:val="NormalWeb"/>
      </w:pPr>
      <w:r>
        <w:rPr>
          <w:rFonts w:ascii="Calibri" w:hAnsi="Calibri" w:cs="Calibri"/>
          <w:b/>
          <w:bCs/>
          <w:color w:val="1E1E1E"/>
        </w:rPr>
        <w:t xml:space="preserve">Conclusion: </w:t>
      </w:r>
      <w:r>
        <w:rPr>
          <w:rFonts w:ascii="Calibri" w:hAnsi="Calibri" w:cs="Calibri"/>
          <w:color w:val="1E1E1E"/>
        </w:rPr>
        <w:t xml:space="preserve">Elevated soluble CD90 in human serum is associated with endometriosis, which suggests its putative clinical significance as a biomarker in screening and/or diagnosis of the disease. </w:t>
      </w:r>
    </w:p>
    <w:p w14:paraId="6F369CEA"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Math">
    <w:altName w:val="Cambria"/>
    <w:panose1 w:val="020B0604020202020204"/>
    <w:charset w:val="00"/>
    <w:family w:val="roman"/>
    <w:notTrueType/>
    <w:pitch w:val="default"/>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2047"/>
    <w:rsid w:val="001C7F88"/>
    <w:rsid w:val="00432D50"/>
    <w:rsid w:val="00875F78"/>
    <w:rsid w:val="00A74000"/>
    <w:rsid w:val="00B02158"/>
    <w:rsid w:val="00BE7B39"/>
    <w:rsid w:val="00C12047"/>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5E6C950"/>
  <w15:chartTrackingRefBased/>
  <w15:docId w15:val="{93B4E71C-1116-174E-84FD-DE3E18CB5D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12047"/>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1523213">
      <w:bodyDiv w:val="1"/>
      <w:marLeft w:val="0"/>
      <w:marRight w:val="0"/>
      <w:marTop w:val="0"/>
      <w:marBottom w:val="0"/>
      <w:divBdr>
        <w:top w:val="none" w:sz="0" w:space="0" w:color="auto"/>
        <w:left w:val="none" w:sz="0" w:space="0" w:color="auto"/>
        <w:bottom w:val="none" w:sz="0" w:space="0" w:color="auto"/>
        <w:right w:val="none" w:sz="0" w:space="0" w:color="auto"/>
      </w:divBdr>
      <w:divsChild>
        <w:div w:id="2119181458">
          <w:marLeft w:val="0"/>
          <w:marRight w:val="0"/>
          <w:marTop w:val="0"/>
          <w:marBottom w:val="0"/>
          <w:divBdr>
            <w:top w:val="none" w:sz="0" w:space="0" w:color="auto"/>
            <w:left w:val="none" w:sz="0" w:space="0" w:color="auto"/>
            <w:bottom w:val="none" w:sz="0" w:space="0" w:color="auto"/>
            <w:right w:val="none" w:sz="0" w:space="0" w:color="auto"/>
          </w:divBdr>
          <w:divsChild>
            <w:div w:id="1145007495">
              <w:marLeft w:val="0"/>
              <w:marRight w:val="0"/>
              <w:marTop w:val="0"/>
              <w:marBottom w:val="0"/>
              <w:divBdr>
                <w:top w:val="none" w:sz="0" w:space="0" w:color="auto"/>
                <w:left w:val="none" w:sz="0" w:space="0" w:color="auto"/>
                <w:bottom w:val="none" w:sz="0" w:space="0" w:color="auto"/>
                <w:right w:val="none" w:sz="0" w:space="0" w:color="auto"/>
              </w:divBdr>
              <w:divsChild>
                <w:div w:id="1721980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2945090">
          <w:marLeft w:val="0"/>
          <w:marRight w:val="0"/>
          <w:marTop w:val="0"/>
          <w:marBottom w:val="0"/>
          <w:divBdr>
            <w:top w:val="none" w:sz="0" w:space="0" w:color="auto"/>
            <w:left w:val="none" w:sz="0" w:space="0" w:color="auto"/>
            <w:bottom w:val="none" w:sz="0" w:space="0" w:color="auto"/>
            <w:right w:val="none" w:sz="0" w:space="0" w:color="auto"/>
          </w:divBdr>
          <w:divsChild>
            <w:div w:id="1151747303">
              <w:marLeft w:val="0"/>
              <w:marRight w:val="0"/>
              <w:marTop w:val="0"/>
              <w:marBottom w:val="0"/>
              <w:divBdr>
                <w:top w:val="none" w:sz="0" w:space="0" w:color="auto"/>
                <w:left w:val="none" w:sz="0" w:space="0" w:color="auto"/>
                <w:bottom w:val="none" w:sz="0" w:space="0" w:color="auto"/>
                <w:right w:val="none" w:sz="0" w:space="0" w:color="auto"/>
              </w:divBdr>
              <w:divsChild>
                <w:div w:id="6635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299</Words>
  <Characters>1707</Characters>
  <Application>Microsoft Office Word</Application>
  <DocSecurity>0</DocSecurity>
  <Lines>14</Lines>
  <Paragraphs>4</Paragraphs>
  <ScaleCrop>false</ScaleCrop>
  <Company/>
  <LinksUpToDate>false</LinksUpToDate>
  <CharactersWithSpaces>2002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2022-07-30T15:33:00Z</dcterms:created>
  <dcterms:modified xsi:type="dcterms:W3CDTF">2022-07-30T15:34:00Z</dcterms:modified>
</cp:coreProperties>
</file>